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highlight w:val="green"/>
        </w:rPr>
        <w:id w:val="1100222187"/>
        <w:docPartObj>
          <w:docPartGallery w:val="Cover Pages"/>
          <w:docPartUnique/>
        </w:docPartObj>
      </w:sdtPr>
      <w:sdtEndPr>
        <w:rPr>
          <w:rFonts w:eastAsiaTheme="minorEastAsia"/>
          <w:color w:val="5B9BD5" w:themeColor="accent1"/>
          <w:highlight w:val="none"/>
          <w:lang w:eastAsia="pt-PT"/>
        </w:rPr>
      </w:sdtEndPr>
      <w:sdtContent>
        <w:p w:rsidR="005611B2" w:rsidRPr="0056455C" w:rsidRDefault="005611B2" w:rsidP="00904F12">
          <w:pPr>
            <w:jc w:val="center"/>
            <w:rPr>
              <w:rFonts w:eastAsiaTheme="minorEastAsia"/>
              <w:color w:val="5B9BD5" w:themeColor="accent1"/>
              <w:lang w:eastAsia="pt-PT"/>
            </w:rPr>
          </w:pPr>
          <w:r w:rsidRPr="0056455C"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4907915</wp:posOffset>
                    </wp:positionH>
                    <wp:positionV relativeFrom="paragraph">
                      <wp:posOffset>8731250</wp:posOffset>
                    </wp:positionV>
                    <wp:extent cx="1136650" cy="304800"/>
                    <wp:effectExtent l="0" t="0" r="6350" b="0"/>
                    <wp:wrapNone/>
                    <wp:docPr id="4" name="Caixa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3665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F06A9" w:rsidRPr="007446CD" w:rsidRDefault="00393C97">
                                <w:pPr>
                                  <w:rPr>
                                    <w:b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  <w:t>Agosto</w:t>
                                </w:r>
                                <w:r w:rsidR="00AF06A9" w:rsidRPr="007446CD">
                                  <w:rPr>
                                    <w:b/>
                                    <w:color w:val="2F5496" w:themeColor="accent5" w:themeShade="BF"/>
                                    <w:sz w:val="28"/>
                                    <w:szCs w:val="28"/>
                                  </w:rPr>
                                  <w:t xml:space="preserve"> 2021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4" o:spid="_x0000_s1026" type="#_x0000_t202" style="position:absolute;left:0;text-align:left;margin-left:386.45pt;margin-top:687.5pt;width:89.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" fillcolor="white [3201]" stroked="f" strokeweight=".5pt">
                    <v:textbox>
                      <w:txbxContent>
                        <w:p w:rsidR="00AF06A9" w:rsidRPr="007446CD" w:rsidRDefault="00393C97">
                          <w:pPr>
                            <w:rPr>
                              <w:b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2F5496" w:themeColor="accent5" w:themeShade="BF"/>
                              <w:sz w:val="28"/>
                              <w:szCs w:val="28"/>
                            </w:rPr>
                            <w:t>Agosto</w:t>
                          </w:r>
                          <w:r w:rsidR="00AF06A9" w:rsidRPr="007446CD">
                            <w:rPr>
                              <w:b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 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6455C"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ECB94C4" wp14:editId="63172F51">
                    <wp:simplePos x="0" y="0"/>
                    <wp:positionH relativeFrom="page">
                      <wp:posOffset>1174750</wp:posOffset>
                    </wp:positionH>
                    <wp:positionV relativeFrom="page">
                      <wp:posOffset>4711700</wp:posOffset>
                    </wp:positionV>
                    <wp:extent cx="5753100" cy="1436370"/>
                    <wp:effectExtent l="0" t="0" r="13335" b="11430"/>
                    <wp:wrapSquare wrapText="bothSides"/>
                    <wp:docPr id="113" name="Caixa de Tex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36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F06A9" w:rsidRPr="005611B2" w:rsidRDefault="00260E60" w:rsidP="005611B2">
                                <w:pPr>
                                  <w:pStyle w:val="SemEspaamento"/>
                                  <w:jc w:val="center"/>
                                  <w:rPr>
                                    <w:b/>
                                    <w:caps/>
                                    <w:color w:val="2F5496" w:themeColor="accent5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2F5496" w:themeColor="accent5" w:themeShade="BF"/>
                                      <w:sz w:val="52"/>
                                      <w:szCs w:val="52"/>
                                    </w:rPr>
                                    <w:alias w:val="Título"/>
                                    <w:tag w:val=""/>
                                    <w:id w:val="-190028292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AF06A9" w:rsidRPr="005611B2">
                                      <w:rPr>
                                        <w:b/>
                                        <w:caps/>
                                        <w:color w:val="2F5496" w:themeColor="accent5" w:themeShade="BF"/>
                                        <w:sz w:val="52"/>
                                        <w:szCs w:val="52"/>
                                      </w:rPr>
                                      <w:t xml:space="preserve">Síntese de Execução Orçamental                         </w:t>
                                    </w:r>
                                    <w:r w:rsidR="005B6D1D">
                                      <w:rPr>
                                        <w:b/>
                                        <w:caps/>
                                        <w:color w:val="2F5496" w:themeColor="accent5" w:themeShade="BF"/>
                                        <w:sz w:val="52"/>
                                        <w:szCs w:val="52"/>
                                      </w:rPr>
                                      <w:t>JULHO</w:t>
                                    </w:r>
                                    <w:r w:rsidR="00CC1825">
                                      <w:rPr>
                                        <w:b/>
                                        <w:caps/>
                                        <w:color w:val="2F5496" w:themeColor="accent5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AF06A9" w:rsidRPr="005611B2">
                                      <w:rPr>
                                        <w:b/>
                                        <w:caps/>
                                        <w:color w:val="2F5496" w:themeColor="accent5" w:themeShade="BF"/>
                                        <w:sz w:val="52"/>
                                        <w:szCs w:val="52"/>
                                      </w:rPr>
                                      <w:t>2021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-1383869738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F06A9" w:rsidRDefault="00AF06A9">
                                    <w:pPr>
                                      <w:pStyle w:val="SemEspaamento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CB94C4" id="Caixa de Texto 113" o:spid="_x0000_s1027" type="#_x0000_t202" style="position:absolute;left:0;text-align:left;margin-left:92.5pt;margin-top:371pt;width:453pt;height:113.1pt;z-index:251660288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" filled="f" stroked="f" strokeweight=".5pt">
                    <v:textbox inset="0,0,0,0">
                      <w:txbxContent>
                        <w:p w:rsidR="00AF06A9" w:rsidRPr="005611B2" w:rsidRDefault="007E05E2" w:rsidP="005611B2">
                          <w:pPr>
                            <w:pStyle w:val="SemEspaamento"/>
                            <w:jc w:val="center"/>
                            <w:rPr>
                              <w:b/>
                              <w:caps/>
                              <w:color w:val="2F5496" w:themeColor="accent5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2F5496" w:themeColor="accent5" w:themeShade="BF"/>
                                <w:sz w:val="52"/>
                                <w:szCs w:val="52"/>
                              </w:rPr>
                              <w:alias w:val="Título"/>
                              <w:tag w:val=""/>
                              <w:id w:val="-190028292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F06A9" w:rsidRPr="005611B2">
                                <w:rPr>
                                  <w:b/>
                                  <w:caps/>
                                  <w:color w:val="2F5496" w:themeColor="accent5" w:themeShade="BF"/>
                                  <w:sz w:val="52"/>
                                  <w:szCs w:val="52"/>
                                </w:rPr>
                                <w:t xml:space="preserve">Síntese de Execução Orçamental                         </w:t>
                              </w:r>
                              <w:r w:rsidR="005B6D1D">
                                <w:rPr>
                                  <w:b/>
                                  <w:caps/>
                                  <w:color w:val="2F5496" w:themeColor="accent5" w:themeShade="BF"/>
                                  <w:sz w:val="52"/>
                                  <w:szCs w:val="52"/>
                                </w:rPr>
                                <w:t>JULHO</w:t>
                              </w:r>
                              <w:r w:rsidR="00CC1825">
                                <w:rPr>
                                  <w:b/>
                                  <w:caps/>
                                  <w:color w:val="2F5496" w:themeColor="accent5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AF06A9" w:rsidRPr="005611B2">
                                <w:rPr>
                                  <w:b/>
                                  <w:caps/>
                                  <w:color w:val="2F5496" w:themeColor="accent5" w:themeShade="BF"/>
                                  <w:sz w:val="52"/>
                                  <w:szCs w:val="52"/>
                                </w:rPr>
                                <w:t>2021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-138386973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AF06A9" w:rsidRDefault="00AF06A9">
                              <w:pPr>
                                <w:pStyle w:val="SemEspaamento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56455C">
            <w:rPr>
              <w:noProof/>
              <w:lang w:eastAsia="pt-P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B7F2A0B" wp14:editId="287CA5E3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5">
                                <a:lumMod val="75000"/>
                              </a:schemeClr>
                            </a:solidFill>
                          </wpg:grpSpPr>
                          <wps:wsp>
                            <wps:cNvPr id="115" name="Retâ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tâ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B116E28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">
                    <v:rect id="Retâ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tâ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" filled="f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904F12">
            <w:rPr>
              <w:noProof/>
              <w:lang w:eastAsia="pt-PT"/>
            </w:rPr>
            <w:drawing>
              <wp:inline distT="0" distB="0" distL="0" distR="0" wp14:anchorId="3FC346F9" wp14:editId="41869AB2">
                <wp:extent cx="2396021" cy="777485"/>
                <wp:effectExtent l="0" t="0" r="4445" b="3810"/>
                <wp:docPr id="2" name="Imagem 2" descr="cid:image001.jpg@01D69BF1.B14F0DA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id:image001.jpg@01D69BF1.B14F0DA0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5338" cy="786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6455C">
            <w:rPr>
              <w:rFonts w:eastAsiaTheme="minorEastAsia"/>
              <w:color w:val="5B9BD5" w:themeColor="accent1"/>
              <w:lang w:eastAsia="pt-PT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760270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81212" w:rsidRPr="0056455C" w:rsidRDefault="00881212" w:rsidP="00881212">
          <w:pPr>
            <w:pStyle w:val="Cabealhodondice"/>
            <w:spacing w:line="480" w:lineRule="auto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:rsidR="00747A95" w:rsidRPr="0056455C" w:rsidRDefault="00584B3C" w:rsidP="00584B3C">
          <w:pPr>
            <w:pStyle w:val="Cabealhodondice"/>
            <w:tabs>
              <w:tab w:val="left" w:pos="2600"/>
            </w:tabs>
            <w:spacing w:line="480" w:lineRule="auto"/>
            <w:jc w:val="center"/>
            <w:rPr>
              <w:b/>
              <w:color w:val="1F4E79" w:themeColor="accent1" w:themeShade="80"/>
              <w:sz w:val="28"/>
              <w:szCs w:val="28"/>
            </w:rPr>
          </w:pPr>
          <w:r w:rsidRPr="0056455C">
            <w:rPr>
              <w:b/>
              <w:color w:val="1F4E79" w:themeColor="accent1" w:themeShade="80"/>
              <w:sz w:val="28"/>
              <w:szCs w:val="28"/>
            </w:rPr>
            <w:t>ÍNDICE</w:t>
          </w:r>
        </w:p>
        <w:p w:rsidR="00584B3C" w:rsidRPr="0056455C" w:rsidRDefault="00747A95">
          <w:pPr>
            <w:pStyle w:val="ndice1"/>
            <w:tabs>
              <w:tab w:val="left" w:pos="440"/>
              <w:tab w:val="right" w:leader="dot" w:pos="8494"/>
            </w:tabs>
            <w:rPr>
              <w:rStyle w:val="Hiperligao"/>
              <w:noProof/>
            </w:rPr>
          </w:pPr>
          <w:r w:rsidRPr="0056455C">
            <w:fldChar w:fldCharType="begin"/>
          </w:r>
          <w:r w:rsidRPr="0056455C">
            <w:instrText xml:space="preserve"> TOC \o "1-3" \h \z \u </w:instrText>
          </w:r>
          <w:r w:rsidRPr="0056455C">
            <w:fldChar w:fldCharType="separate"/>
          </w:r>
          <w:hyperlink w:anchor="_Toc72504423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1.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Síntese Geral de Execução Orçamental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_Toc72504423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2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584B3C" w:rsidP="00584B3C">
          <w:pPr>
            <w:rPr>
              <w:noProof/>
            </w:rPr>
          </w:pPr>
        </w:p>
        <w:p w:rsidR="00584B3C" w:rsidRPr="0056455C" w:rsidRDefault="00260E6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2504424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2.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Análise das Receitas Totais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_Toc72504424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4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260E60">
          <w:pPr>
            <w:pStyle w:val="ndice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2504425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2.1.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Receitas (não inclui venda de ativos)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_Toc72504425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5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260E60">
          <w:pPr>
            <w:pStyle w:val="ndice1"/>
            <w:tabs>
              <w:tab w:val="left" w:pos="660"/>
              <w:tab w:val="right" w:leader="dot" w:pos="8494"/>
            </w:tabs>
            <w:rPr>
              <w:rStyle w:val="Hiperligao"/>
              <w:noProof/>
            </w:rPr>
          </w:pPr>
          <w:hyperlink w:anchor="_Toc72504426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2.2.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Venda de Ativos Não Financeiros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_Toc72504426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7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584B3C" w:rsidP="00584B3C">
          <w:pPr>
            <w:rPr>
              <w:noProof/>
            </w:rPr>
          </w:pPr>
        </w:p>
        <w:p w:rsidR="00584B3C" w:rsidRPr="0056455C" w:rsidRDefault="00260E6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2504427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3.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Análise das Despesas Totais e Ativos Não Financeiros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_Toc72504427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8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260E60">
          <w:pPr>
            <w:pStyle w:val="ndice1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2504428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3.1.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Por Classificação Económica</w:t>
            </w:r>
            <w:bookmarkStart w:id="0" w:name="_GoBack"/>
            <w:bookmarkEnd w:id="0"/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_Toc72504428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8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260E60">
          <w:pPr>
            <w:pStyle w:val="ndice1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2504429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3.1.1.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Despesas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_Toc72504429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8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260E60">
          <w:pPr>
            <w:pStyle w:val="ndice1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2504430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3.1.2.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Ativos Não Financeiros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_Toc72504430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11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260E60">
          <w:pPr>
            <w:pStyle w:val="ndice1"/>
            <w:tabs>
              <w:tab w:val="left" w:pos="660"/>
              <w:tab w:val="right" w:leader="dot" w:pos="8494"/>
            </w:tabs>
            <w:rPr>
              <w:rStyle w:val="Hiperligao"/>
              <w:noProof/>
            </w:rPr>
          </w:pPr>
          <w:hyperlink w:anchor="_Toc72504431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3.2.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Por Tipo de Financiamento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_Toc72504431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11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584B3C" w:rsidP="00584B3C">
          <w:pPr>
            <w:rPr>
              <w:noProof/>
            </w:rPr>
          </w:pPr>
        </w:p>
        <w:p w:rsidR="00584B3C" w:rsidRPr="0056455C" w:rsidRDefault="00260E60">
          <w:pPr>
            <w:pStyle w:val="ndice1"/>
            <w:tabs>
              <w:tab w:val="left" w:pos="440"/>
              <w:tab w:val="right" w:leader="dot" w:pos="8494"/>
            </w:tabs>
            <w:rPr>
              <w:rStyle w:val="Hiperligao"/>
              <w:noProof/>
            </w:rPr>
          </w:pPr>
          <w:hyperlink w:anchor="_Toc72504432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4.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Projetos em Resposta à Covid-19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_Toc72504432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12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584B3C" w:rsidP="00584B3C">
          <w:pPr>
            <w:rPr>
              <w:noProof/>
            </w:rPr>
          </w:pPr>
        </w:p>
        <w:p w:rsidR="00584B3C" w:rsidRPr="0056455C" w:rsidRDefault="00260E60">
          <w:pPr>
            <w:pStyle w:val="ndice1"/>
            <w:tabs>
              <w:tab w:val="left" w:pos="440"/>
              <w:tab w:val="right" w:leader="dot" w:pos="8494"/>
            </w:tabs>
            <w:rPr>
              <w:rStyle w:val="Hiperligao"/>
              <w:noProof/>
            </w:rPr>
          </w:pPr>
          <w:hyperlink w:anchor="_Toc72504433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5.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Posição da Execução dos Maiores Projetos financiados por Empréstimos Externo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_Toc72504433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14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584B3C" w:rsidRPr="0056455C" w:rsidRDefault="00584B3C" w:rsidP="00584B3C">
          <w:pPr>
            <w:rPr>
              <w:noProof/>
            </w:rPr>
          </w:pPr>
        </w:p>
        <w:p w:rsidR="00584B3C" w:rsidRPr="0056455C" w:rsidRDefault="00260E6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2504434" w:history="1"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6.</w:t>
            </w:r>
            <w:r w:rsidR="00584B3C" w:rsidRPr="0056455C">
              <w:rPr>
                <w:rFonts w:eastAsiaTheme="minorEastAsia"/>
                <w:noProof/>
                <w:lang w:eastAsia="pt-PT"/>
              </w:rPr>
              <w:tab/>
            </w:r>
            <w:r w:rsidR="00584B3C" w:rsidRPr="0056455C">
              <w:rPr>
                <w:rStyle w:val="Hiperligao"/>
                <w:rFonts w:ascii="Source Sans Pro" w:hAnsi="Source Sans Pro"/>
                <w:b/>
                <w:bCs/>
                <w:noProof/>
                <w:lang w:eastAsia="pt-PT"/>
              </w:rPr>
              <w:t>Dívida Pública</w:t>
            </w:r>
            <w:r w:rsidR="00584B3C" w:rsidRPr="0056455C">
              <w:rPr>
                <w:noProof/>
                <w:webHidden/>
              </w:rPr>
              <w:tab/>
            </w:r>
            <w:r w:rsidR="00584B3C" w:rsidRPr="0056455C">
              <w:rPr>
                <w:noProof/>
                <w:webHidden/>
              </w:rPr>
              <w:fldChar w:fldCharType="begin"/>
            </w:r>
            <w:r w:rsidR="00584B3C" w:rsidRPr="0056455C">
              <w:rPr>
                <w:noProof/>
                <w:webHidden/>
              </w:rPr>
              <w:instrText xml:space="preserve"> PAGEREF _Toc72504434 \h </w:instrText>
            </w:r>
            <w:r w:rsidR="00584B3C" w:rsidRPr="0056455C">
              <w:rPr>
                <w:noProof/>
                <w:webHidden/>
              </w:rPr>
            </w:r>
            <w:r w:rsidR="00584B3C" w:rsidRPr="0056455C">
              <w:rPr>
                <w:noProof/>
                <w:webHidden/>
              </w:rPr>
              <w:fldChar w:fldCharType="separate"/>
            </w:r>
            <w:r w:rsidR="0091145B">
              <w:rPr>
                <w:noProof/>
                <w:webHidden/>
              </w:rPr>
              <w:t>16</w:t>
            </w:r>
            <w:r w:rsidR="00584B3C" w:rsidRPr="0056455C">
              <w:rPr>
                <w:noProof/>
                <w:webHidden/>
              </w:rPr>
              <w:fldChar w:fldCharType="end"/>
            </w:r>
          </w:hyperlink>
        </w:p>
        <w:p w:rsidR="00747A95" w:rsidRPr="00A73EA4" w:rsidRDefault="00747A95" w:rsidP="00881212">
          <w:pPr>
            <w:spacing w:line="480" w:lineRule="auto"/>
          </w:pPr>
          <w:r w:rsidRPr="0056455C">
            <w:rPr>
              <w:b/>
              <w:bCs/>
            </w:rPr>
            <w:fldChar w:fldCharType="end"/>
          </w:r>
        </w:p>
      </w:sdtContent>
    </w:sdt>
    <w:p w:rsidR="003C52F0" w:rsidRPr="00A73EA4" w:rsidRDefault="003C52F0" w:rsidP="003C52F0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  <w:sz w:val="10"/>
          <w:szCs w:val="10"/>
        </w:rPr>
      </w:pPr>
    </w:p>
    <w:p w:rsidR="00747A95" w:rsidRPr="00A73EA4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  <w:bookmarkStart w:id="1" w:name="_Toc52145054"/>
    </w:p>
    <w:p w:rsidR="00747A95" w:rsidRPr="00A73EA4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</w:p>
    <w:p w:rsidR="00747A95" w:rsidRPr="00A73EA4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</w:p>
    <w:p w:rsidR="00747A95" w:rsidRPr="00A73EA4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</w:p>
    <w:p w:rsidR="00747A95" w:rsidRPr="00A73EA4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</w:p>
    <w:p w:rsidR="00747A95" w:rsidRPr="00A73EA4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</w:p>
    <w:p w:rsidR="00747A95" w:rsidRPr="00A73EA4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</w:p>
    <w:p w:rsidR="00747A95" w:rsidRPr="00A73EA4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</w:p>
    <w:p w:rsidR="00747A95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</w:p>
    <w:p w:rsidR="007E3E5B" w:rsidRDefault="007E3E5B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</w:rPr>
      </w:pPr>
    </w:p>
    <w:p w:rsidR="00747A95" w:rsidRDefault="00747A95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  <w:sz w:val="10"/>
          <w:szCs w:val="10"/>
        </w:rPr>
      </w:pPr>
    </w:p>
    <w:p w:rsidR="00904F12" w:rsidRPr="00BA4868" w:rsidRDefault="00904F12" w:rsidP="00747A95">
      <w:pPr>
        <w:pStyle w:val="PargrafodaLista"/>
        <w:spacing w:line="360" w:lineRule="auto"/>
        <w:ind w:left="357"/>
        <w:jc w:val="both"/>
        <w:outlineLvl w:val="0"/>
        <w:rPr>
          <w:rFonts w:ascii="Source Sans Pro" w:eastAsia="Calibri" w:hAnsi="Source Sans Pro"/>
          <w:b/>
          <w:sz w:val="10"/>
          <w:szCs w:val="10"/>
        </w:rPr>
      </w:pPr>
    </w:p>
    <w:p w:rsidR="00747A95" w:rsidRPr="0056455C" w:rsidRDefault="00747A95" w:rsidP="00904F12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uppressAutoHyphens w:val="0"/>
        <w:autoSpaceDN/>
        <w:ind w:left="0" w:right="140" w:firstLine="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1F4E79" w:themeColor="accent1" w:themeShade="80"/>
          <w:lang w:eastAsia="pt-PT"/>
        </w:rPr>
      </w:pPr>
      <w:bookmarkStart w:id="2" w:name="_Toc52981439"/>
      <w:bookmarkStart w:id="3" w:name="_Toc72504423"/>
      <w:bookmarkEnd w:id="1"/>
      <w:r w:rsidRPr="0056455C">
        <w:rPr>
          <w:rFonts w:ascii="Source Sans Pro" w:hAnsi="Source Sans Pro"/>
          <w:b/>
          <w:bCs/>
          <w:color w:val="2F5496" w:themeColor="accent5" w:themeShade="BF"/>
          <w:lang w:eastAsia="pt-PT"/>
        </w:rPr>
        <w:lastRenderedPageBreak/>
        <w:t>S</w:t>
      </w:r>
      <w:r w:rsidR="00831EDF" w:rsidRPr="0056455C">
        <w:rPr>
          <w:rFonts w:ascii="Source Sans Pro" w:hAnsi="Source Sans Pro"/>
          <w:b/>
          <w:bCs/>
          <w:color w:val="2F5496" w:themeColor="accent5" w:themeShade="BF"/>
          <w:lang w:eastAsia="pt-PT"/>
        </w:rPr>
        <w:t>íntese Geral de Execução Orçamental</w:t>
      </w:r>
      <w:r w:rsidRPr="0056455C">
        <w:rPr>
          <w:rFonts w:ascii="Source Sans Pro" w:hAnsi="Source Sans Pro"/>
          <w:b/>
          <w:bCs/>
          <w:color w:val="2F5496" w:themeColor="accent5" w:themeShade="BF"/>
          <w:lang w:eastAsia="pt-PT"/>
        </w:rPr>
        <w:t xml:space="preserve"> </w:t>
      </w:r>
      <w:bookmarkEnd w:id="2"/>
      <w:bookmarkEnd w:id="3"/>
    </w:p>
    <w:p w:rsidR="0044733B" w:rsidRPr="0056455C" w:rsidRDefault="0044733B" w:rsidP="0044733B">
      <w:pPr>
        <w:spacing w:line="360" w:lineRule="auto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ED2F68" w:rsidRPr="009455E7" w:rsidRDefault="0044733B" w:rsidP="00506F06">
      <w:pPr>
        <w:spacing w:line="360" w:lineRule="auto"/>
        <w:jc w:val="both"/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A </w:t>
      </w:r>
      <w:r w:rsidR="00201CFF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31</w:t>
      </w:r>
      <w:r w:rsidR="00945B41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 </w:t>
      </w: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de </w:t>
      </w:r>
      <w:r w:rsidR="00D14B40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julho</w:t>
      </w:r>
      <w:r w:rsidR="00CB2DC7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 </w:t>
      </w:r>
      <w:r w:rsidR="00945B41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de</w:t>
      </w:r>
      <w:r w:rsidR="0093099E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 2021</w:t>
      </w: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, o valor provisório do saldo global foi negativo em </w:t>
      </w:r>
      <w:r w:rsidR="00AE5F8F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9</w:t>
      </w:r>
      <w:r w:rsidR="00D14B40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.</w:t>
      </w:r>
      <w:r w:rsidR="00AE5F8F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395</w:t>
      </w:r>
      <w:r w:rsidR="00D14B40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,</w:t>
      </w:r>
      <w:r w:rsidR="00AE5F8F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4</w:t>
      </w:r>
      <w:r w:rsidR="00D14B40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 </w:t>
      </w: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milhões de CVE, ou seja, um défice de </w:t>
      </w:r>
      <w:r w:rsidR="00CC0247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5</w:t>
      </w:r>
      <w:r w:rsidR="00A02AF1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,</w:t>
      </w:r>
      <w:r w:rsidR="00AE5F8F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3</w:t>
      </w: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% do PIB projetado pelo M</w:t>
      </w:r>
      <w:r w:rsidR="00ED2F68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inistério das </w:t>
      </w: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F</w:t>
      </w:r>
      <w:r w:rsidR="00ED2F68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inanças </w:t>
      </w:r>
      <w:r w:rsidR="00904F12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e Fomento Empresarial </w:t>
      </w:r>
      <w:r w:rsidR="00ED2F68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(MF</w:t>
      </w:r>
      <w:r w:rsidR="00904F12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FE</w:t>
      </w:r>
      <w:r w:rsidR="00ED2F68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)</w:t>
      </w:r>
      <w:r w:rsidR="007E3E5B" w:rsidRPr="009455E7">
        <w:rPr>
          <w:rFonts w:ascii="Source Sans Pro" w:eastAsia="Times New Roman" w:hAnsi="Source Sans Pro" w:cstheme="minorHAnsi"/>
          <w:bCs/>
          <w:sz w:val="10"/>
          <w:szCs w:val="10"/>
          <w:lang w:eastAsia="pt-PT"/>
        </w:rPr>
        <w:footnoteReference w:id="1"/>
      </w:r>
      <w:r w:rsidR="00904F12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. Ess</w:t>
      </w:r>
      <w:r w:rsidR="00ED2F68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e resultado se traduz</w:t>
      </w:r>
      <w:r w:rsidR="00D0013A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iu</w:t>
      </w:r>
      <w:r w:rsidR="00ED2F68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 n</w:t>
      </w: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um agravamento </w:t>
      </w:r>
      <w:r w:rsidR="00AE5F8F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1,6</w:t>
      </w:r>
      <w:r w:rsidR="003032C3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 </w:t>
      </w: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p.p</w:t>
      </w:r>
      <w:r w:rsidR="00CC0C20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., </w:t>
      </w:r>
      <w:r w:rsidR="00ED2F68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em </w:t>
      </w:r>
      <w:r w:rsidR="00CC0C20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face ao mesmo período de 2020</w:t>
      </w: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. </w:t>
      </w:r>
    </w:p>
    <w:p w:rsidR="006B09CF" w:rsidRPr="009455E7" w:rsidRDefault="00ED2F68" w:rsidP="0044733B">
      <w:pPr>
        <w:spacing w:line="360" w:lineRule="auto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Observa-se</w:t>
      </w:r>
      <w:r w:rsidR="00CC0C20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, ainda, que o saldo corrente </w:t>
      </w:r>
      <w:r w:rsidR="0044733B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primário/PIB foi negativo em </w:t>
      </w:r>
      <w:r w:rsidR="00201CF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4,</w:t>
      </w:r>
      <w:r w:rsidR="00AE5F8F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1</w:t>
      </w:r>
      <w:r w:rsidR="00FC470D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%, agravando-se em </w:t>
      </w:r>
      <w:r w:rsidR="00AE5F8F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1</w:t>
      </w:r>
      <w:r w:rsidR="00201CF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</w:t>
      </w:r>
      <w:r w:rsidR="00AE5F8F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9</w:t>
      </w:r>
      <w:r w:rsidR="00B53269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44733B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p.p., comparativamente ao período 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homólogo, continuando</w:t>
      </w:r>
      <w:r w:rsidR="00D4041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 assim,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a </w:t>
      </w:r>
      <w:r w:rsidR="00D4041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refletir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o impacto negativo da pandemia </w:t>
      </w:r>
      <w:r w:rsidR="006B09C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na economia cabo-verdiana, e consequentemente, no quadro fiscal/orçamental, decorrente dos estabilizadores automáticos e das medidas adotadas no âmbito do combate e da prevenção da Covid-19</w:t>
      </w:r>
      <w:r w:rsidR="006B09CF" w:rsidRPr="009455E7">
        <w:t>.</w:t>
      </w:r>
    </w:p>
    <w:p w:rsidR="0044733B" w:rsidRPr="009455E7" w:rsidRDefault="0044733B" w:rsidP="0044733B">
      <w:pPr>
        <w:tabs>
          <w:tab w:val="left" w:pos="9072"/>
        </w:tabs>
        <w:spacing w:after="0" w:line="360" w:lineRule="auto"/>
        <w:ind w:right="140"/>
        <w:jc w:val="center"/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20"/>
          <w:szCs w:val="20"/>
          <w:lang w:eastAsia="pt-PT"/>
        </w:rPr>
      </w:pPr>
      <w:r w:rsidRPr="009455E7"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20"/>
          <w:szCs w:val="20"/>
          <w:lang w:eastAsia="pt-PT"/>
        </w:rPr>
        <w:t>Gráfico 1 - Evolução do Saldo Global</w:t>
      </w:r>
      <w:r w:rsidR="00D87866" w:rsidRPr="009455E7"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20"/>
          <w:szCs w:val="20"/>
          <w:lang w:eastAsia="pt-PT"/>
        </w:rPr>
        <w:t xml:space="preserve"> </w:t>
      </w:r>
    </w:p>
    <w:p w:rsidR="00BE2A5F" w:rsidRPr="009455E7" w:rsidRDefault="00477EEC" w:rsidP="0044733B">
      <w:pPr>
        <w:tabs>
          <w:tab w:val="left" w:pos="9072"/>
        </w:tabs>
        <w:spacing w:after="0" w:line="360" w:lineRule="auto"/>
        <w:ind w:right="140"/>
        <w:jc w:val="center"/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20"/>
          <w:szCs w:val="20"/>
          <w:lang w:eastAsia="pt-PT"/>
        </w:rPr>
      </w:pPr>
      <w:r>
        <w:rPr>
          <w:rFonts w:ascii="Source Sans Pro" w:eastAsia="Times New Roman" w:hAnsi="Source Sans Pro" w:cs="Times New Roman"/>
          <w:b/>
          <w:bCs/>
          <w:noProof/>
          <w:color w:val="2F5496" w:themeColor="accent5" w:themeShade="BF"/>
          <w:sz w:val="20"/>
          <w:szCs w:val="20"/>
          <w:lang w:eastAsia="pt-PT"/>
        </w:rPr>
        <w:drawing>
          <wp:inline distT="0" distB="0" distL="0" distR="0" wp14:anchorId="59FAF707">
            <wp:extent cx="5428526" cy="1981200"/>
            <wp:effectExtent l="0" t="0" r="127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31" cy="1981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33B" w:rsidRPr="009455E7" w:rsidRDefault="008600F8" w:rsidP="00ED2F68">
      <w:pPr>
        <w:tabs>
          <w:tab w:val="left" w:pos="9072"/>
        </w:tabs>
        <w:spacing w:after="0" w:line="360" w:lineRule="auto"/>
        <w:ind w:left="-224" w:right="140"/>
        <w:rPr>
          <w:rFonts w:ascii="Source Sans Pro" w:eastAsia="Times New Roman" w:hAnsi="Source Sans Pro" w:cs="Times New Roman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5E7">
        <w:rPr>
          <w:rFonts w:ascii="Source Sans Pro" w:eastAsia="Times New Roman" w:hAnsi="Source Sans Pro" w:cs="Times New Roman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ED43C6" w:rsidRPr="009455E7">
        <w:rPr>
          <w:rFonts w:ascii="Source Sans Pro" w:eastAsia="Times New Roman" w:hAnsi="Source Sans Pro" w:cs="Times New Roman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C7483" w:rsidRPr="009455E7">
        <w:rPr>
          <w:rFonts w:ascii="Source Sans Pro" w:eastAsia="Times New Roman" w:hAnsi="Source Sans Pro" w:cs="Times New Roman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655C43" w:rsidRPr="009455E7">
        <w:rPr>
          <w:rFonts w:ascii="Source Sans Pro" w:eastAsia="Times New Roman" w:hAnsi="Source Sans Pro" w:cs="Times New Roman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733B" w:rsidRPr="009455E7">
        <w:rPr>
          <w:rFonts w:ascii="Source Sans Pro" w:eastAsia="Times New Roman" w:hAnsi="Source Sans Pro" w:cs="Times New Roman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Fonte: MF</w:t>
      </w:r>
      <w:r w:rsidR="00904F12" w:rsidRPr="009455E7">
        <w:rPr>
          <w:rFonts w:ascii="Source Sans Pro" w:eastAsia="Times New Roman" w:hAnsi="Source Sans Pro" w:cs="Times New Roman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</w:t>
      </w:r>
    </w:p>
    <w:p w:rsidR="0044733B" w:rsidRPr="009455E7" w:rsidRDefault="0044733B" w:rsidP="0044733B">
      <w:pPr>
        <w:tabs>
          <w:tab w:val="left" w:pos="9072"/>
        </w:tabs>
        <w:spacing w:after="0" w:line="360" w:lineRule="auto"/>
        <w:ind w:right="140"/>
        <w:rPr>
          <w:rFonts w:ascii="Source Sans Pro" w:eastAsia="Times New Roman" w:hAnsi="Source Sans Pro" w:cs="Times New Roman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733B" w:rsidRPr="009455E7" w:rsidRDefault="00ED2F68" w:rsidP="00A16FFC">
      <w:pPr>
        <w:spacing w:line="360" w:lineRule="auto"/>
        <w:jc w:val="both"/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Os resultados </w:t>
      </w:r>
      <w:r w:rsidR="005B3CDA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provisórios </w:t>
      </w:r>
      <w:r w:rsidR="00D87866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da execução orçamental até</w:t>
      </w:r>
      <w:r w:rsidR="00BE1CC9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 </w:t>
      </w:r>
      <w:r w:rsidR="00CA63FF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julho</w:t>
      </w:r>
      <w:r w:rsidR="00DA19C3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 de</w:t>
      </w:r>
      <w:r w:rsidR="005B4271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 </w:t>
      </w:r>
      <w:r w:rsidR="001600BC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2021</w:t>
      </w:r>
      <w:r w:rsidR="0044733B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, </w:t>
      </w:r>
      <w:r w:rsidR="005A7CFE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comparativamente ao mesmo período de 2020, </w:t>
      </w:r>
      <w:r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>decorrem</w:t>
      </w:r>
      <w:r w:rsidR="0044733B" w:rsidRPr="009455E7">
        <w:rPr>
          <w:rFonts w:ascii="Source Sans Pro" w:eastAsia="Times New Roman" w:hAnsi="Source Sans Pro" w:cstheme="minorHAnsi"/>
          <w:bCs/>
          <w:sz w:val="24"/>
          <w:szCs w:val="24"/>
          <w:lang w:eastAsia="pt-PT"/>
        </w:rPr>
        <w:t xml:space="preserve">: </w:t>
      </w:r>
    </w:p>
    <w:p w:rsidR="00945B41" w:rsidRPr="009455E7" w:rsidRDefault="00945B41" w:rsidP="00CA63FF">
      <w:pPr>
        <w:pStyle w:val="PargrafodaLista"/>
        <w:numPr>
          <w:ilvl w:val="0"/>
          <w:numId w:val="30"/>
        </w:numPr>
        <w:spacing w:line="360" w:lineRule="auto"/>
        <w:jc w:val="both"/>
        <w:rPr>
          <w:rFonts w:ascii="Source Sans Pro" w:hAnsi="Source Sans Pro" w:cstheme="minorHAnsi"/>
          <w:bCs/>
          <w:lang w:eastAsia="pt-PT"/>
        </w:rPr>
      </w:pPr>
      <w:r w:rsidRPr="009455E7">
        <w:rPr>
          <w:rFonts w:ascii="Source Sans Pro" w:hAnsi="Source Sans Pro" w:cstheme="minorHAnsi"/>
          <w:bCs/>
          <w:lang w:eastAsia="pt-PT"/>
        </w:rPr>
        <w:t>da diminuição das receitas totais em</w:t>
      </w:r>
      <w:r w:rsidR="001600BC" w:rsidRPr="009455E7">
        <w:rPr>
          <w:rFonts w:ascii="Source Sans Pro" w:hAnsi="Source Sans Pro" w:cstheme="minorHAnsi"/>
          <w:bCs/>
          <w:lang w:eastAsia="pt-PT"/>
        </w:rPr>
        <w:t xml:space="preserve"> </w:t>
      </w:r>
      <w:r w:rsidR="00CA63FF" w:rsidRPr="009455E7">
        <w:rPr>
          <w:rFonts w:ascii="Source Sans Pro" w:hAnsi="Source Sans Pro" w:cstheme="minorHAnsi"/>
          <w:bCs/>
          <w:lang w:eastAsia="pt-PT"/>
        </w:rPr>
        <w:t>7,1% (-1.63</w:t>
      </w:r>
      <w:r w:rsidR="00EB497F">
        <w:rPr>
          <w:rFonts w:ascii="Source Sans Pro" w:hAnsi="Source Sans Pro" w:cstheme="minorHAnsi"/>
          <w:bCs/>
          <w:lang w:eastAsia="pt-PT"/>
        </w:rPr>
        <w:t>4,8</w:t>
      </w:r>
      <w:r w:rsidR="00691AAC">
        <w:rPr>
          <w:rFonts w:ascii="Source Sans Pro" w:hAnsi="Source Sans Pro" w:cstheme="minorHAnsi"/>
          <w:bCs/>
          <w:lang w:eastAsia="pt-PT"/>
        </w:rPr>
        <w:t xml:space="preserve"> </w:t>
      </w:r>
      <w:r w:rsidRPr="009455E7">
        <w:rPr>
          <w:rFonts w:ascii="Source Sans Pro" w:hAnsi="Source Sans Pro" w:cstheme="minorHAnsi"/>
          <w:bCs/>
          <w:lang w:eastAsia="pt-PT"/>
        </w:rPr>
        <w:t xml:space="preserve">milhões de CVE); </w:t>
      </w:r>
    </w:p>
    <w:p w:rsidR="00945B41" w:rsidRPr="009455E7" w:rsidRDefault="00884346" w:rsidP="00CA63FF">
      <w:pPr>
        <w:pStyle w:val="PargrafodaLista"/>
        <w:numPr>
          <w:ilvl w:val="0"/>
          <w:numId w:val="30"/>
        </w:numPr>
        <w:tabs>
          <w:tab w:val="left" w:pos="851"/>
        </w:tabs>
        <w:spacing w:line="360" w:lineRule="auto"/>
        <w:ind w:right="140"/>
        <w:contextualSpacing/>
        <w:jc w:val="both"/>
        <w:rPr>
          <w:rFonts w:ascii="Source Sans Pro" w:hAnsi="Source Sans Pro" w:cstheme="minorHAnsi"/>
          <w:bCs/>
          <w:lang w:eastAsia="pt-PT"/>
        </w:rPr>
      </w:pPr>
      <w:r w:rsidRPr="009455E7">
        <w:rPr>
          <w:rFonts w:ascii="Source Sans Pro" w:hAnsi="Source Sans Pro" w:cstheme="minorHAnsi"/>
          <w:bCs/>
          <w:lang w:eastAsia="pt-PT"/>
        </w:rPr>
        <w:t>do</w:t>
      </w:r>
      <w:r w:rsidR="00945B41" w:rsidRPr="009455E7">
        <w:rPr>
          <w:rFonts w:ascii="Source Sans Pro" w:hAnsi="Source Sans Pro" w:cstheme="minorHAnsi"/>
          <w:bCs/>
          <w:lang w:eastAsia="pt-PT"/>
        </w:rPr>
        <w:t xml:space="preserve"> </w:t>
      </w:r>
      <w:r w:rsidRPr="009455E7">
        <w:rPr>
          <w:rFonts w:ascii="Source Sans Pro" w:hAnsi="Source Sans Pro" w:cstheme="minorHAnsi"/>
          <w:bCs/>
          <w:lang w:eastAsia="pt-PT"/>
        </w:rPr>
        <w:t>agravamento</w:t>
      </w:r>
      <w:r w:rsidR="000D677C" w:rsidRPr="009455E7">
        <w:rPr>
          <w:rFonts w:ascii="Source Sans Pro" w:hAnsi="Source Sans Pro" w:cstheme="minorHAnsi"/>
          <w:bCs/>
          <w:lang w:eastAsia="pt-PT"/>
        </w:rPr>
        <w:t xml:space="preserve"> </w:t>
      </w:r>
      <w:r w:rsidR="00945B41" w:rsidRPr="009455E7">
        <w:rPr>
          <w:rFonts w:ascii="Source Sans Pro" w:hAnsi="Source Sans Pro" w:cstheme="minorHAnsi"/>
          <w:bCs/>
          <w:lang w:eastAsia="pt-PT"/>
        </w:rPr>
        <w:t xml:space="preserve">das despesas totais em </w:t>
      </w:r>
      <w:r w:rsidR="00EB497F">
        <w:rPr>
          <w:rFonts w:ascii="Source Sans Pro" w:hAnsi="Source Sans Pro" w:cstheme="minorHAnsi"/>
          <w:bCs/>
          <w:lang w:eastAsia="pt-PT"/>
        </w:rPr>
        <w:t>4</w:t>
      </w:r>
      <w:r w:rsidR="00CA63FF" w:rsidRPr="009455E7">
        <w:rPr>
          <w:rFonts w:ascii="Source Sans Pro" w:hAnsi="Source Sans Pro" w:cstheme="minorHAnsi"/>
          <w:bCs/>
          <w:lang w:eastAsia="pt-PT"/>
        </w:rPr>
        <w:t>,</w:t>
      </w:r>
      <w:r w:rsidR="00EB497F">
        <w:rPr>
          <w:rFonts w:ascii="Source Sans Pro" w:hAnsi="Source Sans Pro" w:cstheme="minorHAnsi"/>
          <w:bCs/>
          <w:lang w:eastAsia="pt-PT"/>
        </w:rPr>
        <w:t>5</w:t>
      </w:r>
      <w:r w:rsidR="00945B41" w:rsidRPr="009455E7">
        <w:rPr>
          <w:rFonts w:ascii="Source Sans Pro" w:hAnsi="Source Sans Pro" w:cstheme="minorHAnsi"/>
          <w:bCs/>
          <w:lang w:eastAsia="pt-PT"/>
        </w:rPr>
        <w:t>% (</w:t>
      </w:r>
      <w:r w:rsidR="00464B56" w:rsidRPr="009455E7">
        <w:rPr>
          <w:rFonts w:ascii="Source Sans Pro" w:hAnsi="Source Sans Pro" w:cstheme="minorHAnsi"/>
          <w:bCs/>
          <w:lang w:eastAsia="pt-PT"/>
        </w:rPr>
        <w:t>+</w:t>
      </w:r>
      <w:r w:rsidR="00EB497F">
        <w:rPr>
          <w:rFonts w:ascii="Source Sans Pro" w:hAnsi="Source Sans Pro" w:cstheme="minorHAnsi"/>
          <w:bCs/>
          <w:lang w:eastAsia="pt-PT"/>
        </w:rPr>
        <w:t>1.286,4</w:t>
      </w:r>
      <w:r w:rsidR="00CA63FF" w:rsidRPr="009455E7">
        <w:rPr>
          <w:rFonts w:ascii="Source Sans Pro" w:hAnsi="Source Sans Pro" w:cstheme="minorHAnsi"/>
          <w:bCs/>
          <w:lang w:eastAsia="pt-PT"/>
        </w:rPr>
        <w:t xml:space="preserve"> </w:t>
      </w:r>
      <w:r w:rsidR="00945B41" w:rsidRPr="009455E7">
        <w:rPr>
          <w:rFonts w:ascii="Source Sans Pro" w:hAnsi="Source Sans Pro" w:cstheme="minorHAnsi"/>
          <w:bCs/>
          <w:lang w:eastAsia="pt-PT"/>
        </w:rPr>
        <w:t>milhões de CVE); e</w:t>
      </w:r>
    </w:p>
    <w:p w:rsidR="00EB6979" w:rsidRPr="009455E7" w:rsidRDefault="00DA19C3" w:rsidP="00CA63FF">
      <w:pPr>
        <w:pStyle w:val="PargrafodaLista"/>
        <w:numPr>
          <w:ilvl w:val="0"/>
          <w:numId w:val="30"/>
        </w:numPr>
        <w:tabs>
          <w:tab w:val="left" w:pos="851"/>
        </w:tabs>
        <w:spacing w:line="360" w:lineRule="auto"/>
        <w:ind w:right="140"/>
        <w:contextualSpacing/>
        <w:jc w:val="both"/>
        <w:rPr>
          <w:rFonts w:ascii="Source Sans Pro" w:hAnsi="Source Sans Pro" w:cstheme="minorHAnsi"/>
          <w:bCs/>
          <w:lang w:eastAsia="pt-PT"/>
        </w:rPr>
      </w:pPr>
      <w:r w:rsidRPr="009455E7">
        <w:rPr>
          <w:rFonts w:ascii="Source Sans Pro" w:hAnsi="Source Sans Pro" w:cstheme="minorHAnsi"/>
          <w:bCs/>
          <w:lang w:eastAsia="pt-PT"/>
        </w:rPr>
        <w:t>d</w:t>
      </w:r>
      <w:r w:rsidR="00695F9E" w:rsidRPr="009455E7">
        <w:rPr>
          <w:rFonts w:ascii="Source Sans Pro" w:hAnsi="Source Sans Pro" w:cstheme="minorHAnsi"/>
          <w:bCs/>
          <w:lang w:eastAsia="pt-PT"/>
        </w:rPr>
        <w:t>a diminuição</w:t>
      </w:r>
      <w:r w:rsidR="00945B41" w:rsidRPr="009455E7">
        <w:rPr>
          <w:rFonts w:ascii="Source Sans Pro" w:hAnsi="Source Sans Pro" w:cstheme="minorHAnsi"/>
          <w:bCs/>
          <w:lang w:eastAsia="pt-PT"/>
        </w:rPr>
        <w:t xml:space="preserve"> em ativ</w:t>
      </w:r>
      <w:r w:rsidR="001600BC" w:rsidRPr="009455E7">
        <w:rPr>
          <w:rFonts w:ascii="Source Sans Pro" w:hAnsi="Source Sans Pro" w:cstheme="minorHAnsi"/>
          <w:bCs/>
          <w:lang w:eastAsia="pt-PT"/>
        </w:rPr>
        <w:t xml:space="preserve">os não financeiros </w:t>
      </w:r>
      <w:r w:rsidR="00695F9E" w:rsidRPr="009455E7">
        <w:rPr>
          <w:rFonts w:ascii="Source Sans Pro" w:hAnsi="Source Sans Pro" w:cstheme="minorHAnsi"/>
          <w:bCs/>
          <w:lang w:eastAsia="pt-PT"/>
        </w:rPr>
        <w:t xml:space="preserve">líquidos </w:t>
      </w:r>
      <w:r w:rsidR="001600BC" w:rsidRPr="009455E7">
        <w:rPr>
          <w:rFonts w:ascii="Source Sans Pro" w:hAnsi="Source Sans Pro" w:cstheme="minorHAnsi"/>
          <w:bCs/>
          <w:lang w:eastAsia="pt-PT"/>
        </w:rPr>
        <w:t xml:space="preserve">em </w:t>
      </w:r>
      <w:r w:rsidR="00CA63FF" w:rsidRPr="009455E7">
        <w:rPr>
          <w:rFonts w:ascii="Source Sans Pro" w:hAnsi="Source Sans Pro" w:cstheme="minorHAnsi"/>
          <w:bCs/>
          <w:lang w:eastAsia="pt-PT"/>
        </w:rPr>
        <w:t>33,3</w:t>
      </w:r>
      <w:r w:rsidRPr="009455E7">
        <w:rPr>
          <w:rFonts w:ascii="Source Sans Pro" w:hAnsi="Source Sans Pro" w:cstheme="minorHAnsi"/>
          <w:bCs/>
          <w:lang w:eastAsia="pt-PT"/>
        </w:rPr>
        <w:t>% (</w:t>
      </w:r>
      <w:r w:rsidR="00695F9E" w:rsidRPr="009455E7">
        <w:rPr>
          <w:rFonts w:ascii="Source Sans Pro" w:hAnsi="Source Sans Pro" w:cstheme="minorHAnsi"/>
          <w:bCs/>
          <w:lang w:eastAsia="pt-PT"/>
        </w:rPr>
        <w:t>-</w:t>
      </w:r>
      <w:r w:rsidR="00CA63FF" w:rsidRPr="009455E7">
        <w:rPr>
          <w:rFonts w:ascii="Source Sans Pro" w:hAnsi="Source Sans Pro" w:cstheme="minorHAnsi"/>
          <w:bCs/>
          <w:lang w:eastAsia="pt-PT"/>
        </w:rPr>
        <w:t>33</w:t>
      </w:r>
      <w:r w:rsidR="00EB497F">
        <w:rPr>
          <w:rFonts w:ascii="Source Sans Pro" w:hAnsi="Source Sans Pro" w:cstheme="minorHAnsi"/>
          <w:bCs/>
          <w:lang w:eastAsia="pt-PT"/>
        </w:rPr>
        <w:t>3,7</w:t>
      </w:r>
      <w:r w:rsidR="00CE774E" w:rsidRPr="009455E7">
        <w:rPr>
          <w:rFonts w:ascii="Source Sans Pro" w:hAnsi="Source Sans Pro" w:cstheme="minorHAnsi"/>
          <w:bCs/>
          <w:lang w:eastAsia="pt-PT"/>
        </w:rPr>
        <w:t xml:space="preserve"> </w:t>
      </w:r>
      <w:r w:rsidR="00945B41" w:rsidRPr="009455E7">
        <w:rPr>
          <w:rFonts w:ascii="Source Sans Pro" w:hAnsi="Source Sans Pro" w:cstheme="minorHAnsi"/>
          <w:bCs/>
          <w:lang w:eastAsia="pt-PT"/>
        </w:rPr>
        <w:t xml:space="preserve">milhões de </w:t>
      </w:r>
      <w:r w:rsidR="004A3888" w:rsidRPr="009455E7">
        <w:rPr>
          <w:rFonts w:ascii="Source Sans Pro" w:hAnsi="Source Sans Pro" w:cstheme="minorHAnsi"/>
          <w:bCs/>
          <w:lang w:eastAsia="pt-PT"/>
        </w:rPr>
        <w:t>CVE), justificado</w:t>
      </w:r>
      <w:r w:rsidR="007E3E5B" w:rsidRPr="009455E7">
        <w:rPr>
          <w:rFonts w:ascii="Source Sans Pro" w:hAnsi="Source Sans Pro" w:cstheme="minorHAnsi"/>
          <w:bCs/>
          <w:lang w:eastAsia="pt-PT"/>
        </w:rPr>
        <w:t>,</w:t>
      </w:r>
      <w:r w:rsidR="004A3888" w:rsidRPr="009455E7">
        <w:rPr>
          <w:rFonts w:ascii="Source Sans Pro" w:hAnsi="Source Sans Pro" w:cstheme="minorHAnsi"/>
          <w:bCs/>
          <w:lang w:eastAsia="pt-PT"/>
        </w:rPr>
        <w:t xml:space="preserve"> essencialmente, pela venda de a</w:t>
      </w:r>
      <w:r w:rsidR="005B0B62" w:rsidRPr="009455E7">
        <w:rPr>
          <w:rFonts w:ascii="Source Sans Pro" w:hAnsi="Source Sans Pro" w:cstheme="minorHAnsi"/>
          <w:bCs/>
          <w:lang w:eastAsia="pt-PT"/>
        </w:rPr>
        <w:t xml:space="preserve">tivos superiores ao registado no mesmo </w:t>
      </w:r>
      <w:r w:rsidR="004A3888" w:rsidRPr="009455E7">
        <w:rPr>
          <w:rFonts w:ascii="Source Sans Pro" w:hAnsi="Source Sans Pro" w:cstheme="minorHAnsi"/>
          <w:bCs/>
          <w:lang w:eastAsia="pt-PT"/>
        </w:rPr>
        <w:t>período</w:t>
      </w:r>
      <w:r w:rsidR="005B0B62" w:rsidRPr="009455E7">
        <w:rPr>
          <w:rFonts w:ascii="Source Sans Pro" w:hAnsi="Source Sans Pro" w:cstheme="minorHAnsi"/>
          <w:bCs/>
          <w:lang w:eastAsia="pt-PT"/>
        </w:rPr>
        <w:t xml:space="preserve"> do ano anterior (2021: </w:t>
      </w:r>
      <w:r w:rsidR="00CA63FF" w:rsidRPr="009455E7">
        <w:rPr>
          <w:rFonts w:ascii="Source Sans Pro" w:hAnsi="Source Sans Pro" w:cstheme="minorHAnsi"/>
          <w:bCs/>
          <w:lang w:eastAsia="pt-PT"/>
        </w:rPr>
        <w:t>534</w:t>
      </w:r>
      <w:r w:rsidR="008878E0" w:rsidRPr="009455E7">
        <w:rPr>
          <w:rFonts w:ascii="Source Sans Pro" w:hAnsi="Source Sans Pro" w:cstheme="minorHAnsi"/>
          <w:bCs/>
          <w:lang w:eastAsia="pt-PT"/>
        </w:rPr>
        <w:t xml:space="preserve"> </w:t>
      </w:r>
      <w:r w:rsidR="005B0B62" w:rsidRPr="009455E7">
        <w:rPr>
          <w:rFonts w:ascii="Source Sans Pro" w:hAnsi="Source Sans Pro" w:cstheme="minorHAnsi"/>
          <w:bCs/>
          <w:lang w:eastAsia="pt-PT"/>
        </w:rPr>
        <w:t xml:space="preserve">milhões de CVE; e 2020: </w:t>
      </w:r>
      <w:r w:rsidR="00CA63FF" w:rsidRPr="009455E7">
        <w:rPr>
          <w:rFonts w:ascii="Source Sans Pro" w:hAnsi="Source Sans Pro" w:cstheme="minorHAnsi"/>
          <w:bCs/>
          <w:lang w:eastAsia="pt-PT"/>
        </w:rPr>
        <w:t>49</w:t>
      </w:r>
      <w:r w:rsidR="008878E0" w:rsidRPr="009455E7">
        <w:rPr>
          <w:rFonts w:ascii="Source Sans Pro" w:hAnsi="Source Sans Pro" w:cstheme="minorHAnsi"/>
          <w:bCs/>
          <w:lang w:eastAsia="pt-PT"/>
        </w:rPr>
        <w:t xml:space="preserve"> </w:t>
      </w:r>
      <w:r w:rsidR="005B0B62" w:rsidRPr="009455E7">
        <w:rPr>
          <w:rFonts w:ascii="Source Sans Pro" w:hAnsi="Source Sans Pro" w:cstheme="minorHAnsi"/>
          <w:bCs/>
          <w:lang w:eastAsia="pt-PT"/>
        </w:rPr>
        <w:t>milhões de CVE).</w:t>
      </w:r>
    </w:p>
    <w:p w:rsidR="00BA4868" w:rsidRPr="009455E7" w:rsidRDefault="00BA4868" w:rsidP="00BA4868">
      <w:pPr>
        <w:tabs>
          <w:tab w:val="left" w:pos="851"/>
        </w:tabs>
        <w:spacing w:after="0" w:line="360" w:lineRule="auto"/>
        <w:ind w:left="720" w:right="140"/>
        <w:contextualSpacing/>
        <w:jc w:val="both"/>
        <w:rPr>
          <w:rFonts w:ascii="Source Sans Pro" w:eastAsia="Times New Roman" w:hAnsi="Source Sans Pro" w:cstheme="minorHAnsi"/>
          <w:bCs/>
          <w:sz w:val="16"/>
          <w:szCs w:val="16"/>
          <w:lang w:eastAsia="pt-PT"/>
        </w:rPr>
      </w:pPr>
    </w:p>
    <w:p w:rsidR="003C52F0" w:rsidRPr="009455E7" w:rsidRDefault="00EB6979" w:rsidP="00EB6979">
      <w:pPr>
        <w:jc w:val="center"/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24"/>
          <w:szCs w:val="24"/>
          <w:lang w:eastAsia="pt-PT"/>
        </w:rPr>
        <w:lastRenderedPageBreak/>
        <w:t>Quadro 1 - Evolução das Operações Financeiras do Estado</w:t>
      </w:r>
    </w:p>
    <w:p w:rsidR="00AA0018" w:rsidRDefault="00B900A9" w:rsidP="004C72B4">
      <w:pPr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B900A9">
        <w:rPr>
          <w:noProof/>
          <w:lang w:eastAsia="pt-PT"/>
        </w:rPr>
        <w:drawing>
          <wp:inline distT="0" distB="0" distL="0" distR="0">
            <wp:extent cx="5399823" cy="737307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966" cy="737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018" w:rsidRPr="009455E7"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69D7" w:rsidRPr="009455E7"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A0018" w:rsidRPr="009455E7"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Fonte: MF</w:t>
      </w:r>
      <w:r w:rsidR="00F54287" w:rsidRPr="009455E7"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</w:t>
      </w:r>
    </w:p>
    <w:p w:rsidR="00487742" w:rsidRDefault="00487742" w:rsidP="004C72B4">
      <w:pPr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7742" w:rsidRDefault="00487742" w:rsidP="004C72B4">
      <w:pPr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7742" w:rsidRPr="009455E7" w:rsidRDefault="00487742" w:rsidP="004C72B4">
      <w:pPr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52F0" w:rsidRPr="009455E7" w:rsidRDefault="00747A95" w:rsidP="00747A95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uppressAutoHyphens w:val="0"/>
        <w:autoSpaceDN/>
        <w:ind w:left="0" w:right="140" w:firstLine="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bookmarkStart w:id="4" w:name="_Toc72504424"/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lastRenderedPageBreak/>
        <w:t>Análise das Receitas</w:t>
      </w:r>
      <w:r w:rsidR="00DF3DC8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 xml:space="preserve"> Totais</w:t>
      </w:r>
      <w:bookmarkEnd w:id="4"/>
    </w:p>
    <w:p w:rsidR="00DF3DC8" w:rsidRPr="009455E7" w:rsidRDefault="00DF3DC8" w:rsidP="00DF3DC8">
      <w:pPr>
        <w:pStyle w:val="PargrafodaLista"/>
        <w:tabs>
          <w:tab w:val="left" w:pos="0"/>
          <w:tab w:val="left" w:pos="284"/>
        </w:tabs>
        <w:suppressAutoHyphens w:val="0"/>
        <w:autoSpaceDN/>
        <w:ind w:left="0"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</w:p>
    <w:p w:rsidR="00DF3DC8" w:rsidRPr="009455E7" w:rsidRDefault="00DF3DC8" w:rsidP="00DF3DC8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As receitas totais da Administração Central</w:t>
      </w:r>
      <w:r w:rsidR="00F542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(incluindo vendas de ativos não financeiros) realizadas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até </w:t>
      </w:r>
      <w:r w:rsidR="00DD04BC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julho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de 2021 </w:t>
      </w:r>
      <w:r w:rsidR="006B09C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cifraram-se em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DD04BC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21.876</w:t>
      </w:r>
      <w:r w:rsidR="008B4B42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,5</w:t>
      </w:r>
      <w:r w:rsidR="00DD04BC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milhões de CVE, registando uma diminuição de </w:t>
      </w:r>
      <w:r w:rsidR="00393C9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5,0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%, comparativamente ao período homólogo.</w:t>
      </w:r>
    </w:p>
    <w:p w:rsidR="00972E28" w:rsidRPr="009455E7" w:rsidRDefault="00972E28" w:rsidP="00DF3DC8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972E28" w:rsidRDefault="00DF3DC8" w:rsidP="00DF3DC8">
      <w:pPr>
        <w:tabs>
          <w:tab w:val="left" w:pos="9072"/>
        </w:tabs>
        <w:spacing w:after="0" w:line="240" w:lineRule="auto"/>
        <w:ind w:right="140"/>
        <w:contextualSpacing/>
        <w:jc w:val="center"/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24"/>
          <w:szCs w:val="24"/>
          <w:lang w:eastAsia="pt-PT"/>
        </w:rPr>
        <w:t>Quadro 2 - Receitas Públicas Orçamentais</w:t>
      </w:r>
    </w:p>
    <w:p w:rsidR="008B4B42" w:rsidRPr="008B4B42" w:rsidRDefault="008B4B42" w:rsidP="00DF3DC8">
      <w:pPr>
        <w:tabs>
          <w:tab w:val="left" w:pos="9072"/>
        </w:tabs>
        <w:spacing w:after="0" w:line="240" w:lineRule="auto"/>
        <w:ind w:right="140"/>
        <w:contextualSpacing/>
        <w:jc w:val="center"/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10"/>
          <w:szCs w:val="10"/>
          <w:lang w:eastAsia="pt-PT"/>
        </w:rPr>
      </w:pPr>
    </w:p>
    <w:p w:rsidR="00B915A3" w:rsidRPr="009455E7" w:rsidRDefault="00D764D2" w:rsidP="00DF3DC8">
      <w:pPr>
        <w:tabs>
          <w:tab w:val="left" w:pos="9072"/>
        </w:tabs>
        <w:spacing w:after="0" w:line="240" w:lineRule="auto"/>
        <w:ind w:right="140"/>
        <w:contextualSpacing/>
        <w:jc w:val="center"/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24"/>
          <w:szCs w:val="24"/>
          <w:lang w:eastAsia="pt-PT"/>
        </w:rPr>
      </w:pPr>
      <w:r w:rsidRPr="00D764D2">
        <w:rPr>
          <w:noProof/>
          <w:lang w:eastAsia="pt-PT"/>
        </w:rPr>
        <w:drawing>
          <wp:inline distT="0" distB="0" distL="0" distR="0">
            <wp:extent cx="5398296" cy="6851650"/>
            <wp:effectExtent l="0" t="0" r="0" b="635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318" cy="686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2B4" w:rsidRPr="008B4B42" w:rsidRDefault="004C72B4" w:rsidP="00DF3DC8">
      <w:pPr>
        <w:tabs>
          <w:tab w:val="left" w:pos="9072"/>
        </w:tabs>
        <w:spacing w:after="0" w:line="240" w:lineRule="auto"/>
        <w:ind w:right="140"/>
        <w:contextualSpacing/>
        <w:jc w:val="center"/>
        <w:rPr>
          <w:rFonts w:ascii="Source Sans Pro" w:eastAsia="Times New Roman" w:hAnsi="Source Sans Pro" w:cs="Times New Roman"/>
          <w:b/>
          <w:bCs/>
          <w:color w:val="2F5496" w:themeColor="accent5" w:themeShade="BF"/>
          <w:sz w:val="10"/>
          <w:szCs w:val="10"/>
          <w:lang w:eastAsia="pt-PT"/>
        </w:rPr>
      </w:pPr>
    </w:p>
    <w:p w:rsidR="00972E28" w:rsidRPr="009455E7" w:rsidRDefault="00972E28" w:rsidP="00972E28">
      <w:pPr>
        <w:tabs>
          <w:tab w:val="left" w:pos="9072"/>
        </w:tabs>
        <w:spacing w:after="0" w:line="240" w:lineRule="auto"/>
        <w:ind w:left="-224" w:right="140"/>
        <w:contextualSpacing/>
        <w:rPr>
          <w:rFonts w:ascii="Source Sans Pro" w:eastAsia="Times New Roman" w:hAnsi="Source Sans Pro" w:cs="Times New Roman"/>
          <w:b/>
          <w:bCs/>
          <w:sz w:val="18"/>
          <w:szCs w:val="18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Fonte: MF</w:t>
      </w:r>
      <w:r w:rsidR="00F833A9" w:rsidRPr="009455E7">
        <w:rPr>
          <w:rFonts w:ascii="Source Sans Pro" w:eastAsia="Times New Roman" w:hAnsi="Source Sans Pro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</w:t>
      </w:r>
    </w:p>
    <w:p w:rsidR="00BA4868" w:rsidRPr="009455E7" w:rsidRDefault="00BA4868" w:rsidP="00DF3DC8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DF3DC8" w:rsidRPr="009455E7" w:rsidRDefault="006361C3" w:rsidP="00DF3DC8">
      <w:pPr>
        <w:pStyle w:val="PargrafodaLista"/>
        <w:numPr>
          <w:ilvl w:val="1"/>
          <w:numId w:val="3"/>
        </w:numPr>
        <w:tabs>
          <w:tab w:val="left" w:pos="0"/>
          <w:tab w:val="left" w:pos="284"/>
        </w:tabs>
        <w:suppressAutoHyphens w:val="0"/>
        <w:autoSpaceDN/>
        <w:ind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bookmarkStart w:id="5" w:name="_Toc72504425"/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lastRenderedPageBreak/>
        <w:t>Receitas (não inclui venda de a</w:t>
      </w:r>
      <w:r w:rsidR="00DF3DC8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tivos)</w:t>
      </w:r>
      <w:bookmarkEnd w:id="5"/>
    </w:p>
    <w:p w:rsidR="006019D4" w:rsidRPr="009455E7" w:rsidRDefault="006019D4" w:rsidP="006019D4">
      <w:pPr>
        <w:pStyle w:val="PargrafodaLista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</w:p>
    <w:p w:rsidR="00945B41" w:rsidRPr="00C22EEA" w:rsidRDefault="00945B41" w:rsidP="00945B41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As receitas </w:t>
      </w:r>
      <w:r w:rsidR="004D7A05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arrecadadas</w:t>
      </w:r>
      <w:r w:rsidR="006778D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</w:t>
      </w:r>
      <w:r w:rsidR="004D7A05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até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B915A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julho</w:t>
      </w:r>
      <w:r w:rsidR="0092392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de 2021, </w:t>
      </w:r>
      <w:r w:rsidR="006B09C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totalizaram o montante de</w:t>
      </w:r>
      <w:r w:rsidR="0092392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B915A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21.342,6 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milhões de CVE, registando uma diminuição de </w:t>
      </w:r>
      <w:r w:rsidR="00B915A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7,1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%, comparativamente ao período homólogo. Esta perf</w:t>
      </w:r>
      <w:r w:rsidR="007E779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ormance resulta da </w:t>
      </w:r>
      <w:r w:rsidR="006778D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diminuição</w:t>
      </w:r>
      <w:r w:rsidR="007E779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da arrecadação</w:t>
      </w:r>
      <w:r w:rsidR="00B915A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em sede dos impostos diretos (-18,8</w:t>
      </w:r>
      <w:r w:rsidR="007E779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%), 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dos impostos indiretos </w:t>
      </w:r>
      <w:r w:rsidR="00B915A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(-2,3</w:t>
      </w:r>
      <w:r w:rsidR="006778D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%) e</w:t>
      </w:r>
      <w:r w:rsidR="00143C1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F26B1B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das outras recei</w:t>
      </w:r>
      <w:r w:rsidR="00972E2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tas</w:t>
      </w:r>
      <w:r w:rsidR="00F542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26717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(-0,6</w:t>
      </w:r>
      <w:r w:rsidR="00F26B1B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%)</w:t>
      </w:r>
      <w:r w:rsidR="00143C1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, </w:t>
      </w:r>
      <w:r w:rsidR="006778D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bem como desembolso dos</w:t>
      </w:r>
      <w:r w:rsidR="00143C1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donativos (-</w:t>
      </w:r>
      <w:r w:rsidR="00C22EEA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33</w:t>
      </w:r>
      <w:r w:rsidR="0026717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</w:t>
      </w:r>
      <w:r w:rsidR="00C22EEA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7</w:t>
      </w:r>
      <w:r w:rsidR="00143C1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%)</w:t>
      </w:r>
      <w:r w:rsidR="006778D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. Regista-se, entretanto, um aumento </w:t>
      </w:r>
      <w:r w:rsidR="007E779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da</w:t>
      </w:r>
      <w:r w:rsidR="00F542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s receitas de</w:t>
      </w:r>
      <w:r w:rsidR="0027002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segurança social (+</w:t>
      </w:r>
      <w:r w:rsidR="0026717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11,3</w:t>
      </w:r>
      <w:r w:rsidR="006778D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%) </w:t>
      </w:r>
      <w:r w:rsidR="006778D2" w:rsidRPr="00C22EEA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que tem pouca materialidade em face ao total da receita do Estado.</w:t>
      </w:r>
    </w:p>
    <w:p w:rsidR="002E3A88" w:rsidRPr="009455E7" w:rsidRDefault="002E3A88" w:rsidP="00945B41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6019D4" w:rsidRPr="009455E7" w:rsidRDefault="006019D4" w:rsidP="006019D4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945B41" w:rsidRPr="009455E7" w:rsidRDefault="00945B41" w:rsidP="00945B41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Em relação aos Impost</w:t>
      </w:r>
      <w:r w:rsidR="00F542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os diretos, é de se destacar que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o </w:t>
      </w:r>
      <w:r w:rsidR="00F6649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decréscimo </w:t>
      </w:r>
      <w:r w:rsidR="009C09E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18,8</w:t>
      </w:r>
      <w:r w:rsidR="00F542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%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decorre da evolução das receitas arreca</w:t>
      </w:r>
      <w:r w:rsidR="000D677C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da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das em sede do:</w:t>
      </w:r>
    </w:p>
    <w:p w:rsidR="00F17E62" w:rsidRPr="009455E7" w:rsidRDefault="00F17E62" w:rsidP="006019D4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"/>
          <w:szCs w:val="2"/>
          <w:lang w:eastAsia="pt-PT"/>
        </w:rPr>
      </w:pPr>
    </w:p>
    <w:p w:rsidR="006778D2" w:rsidRPr="009455E7" w:rsidRDefault="00731366" w:rsidP="009C09EF">
      <w:pPr>
        <w:pStyle w:val="PargrafodaLista"/>
        <w:numPr>
          <w:ilvl w:val="0"/>
          <w:numId w:val="4"/>
        </w:numPr>
        <w:spacing w:line="360" w:lineRule="auto"/>
        <w:ind w:right="140"/>
        <w:jc w:val="both"/>
        <w:rPr>
          <w:rFonts w:ascii="Source Sans Pro" w:hAnsi="Source Sans Pro"/>
        </w:rPr>
      </w:pPr>
      <w:r w:rsidRPr="009455E7">
        <w:rPr>
          <w:rFonts w:ascii="Source Sans Pro" w:hAnsi="Source Sans Pro"/>
        </w:rPr>
        <w:t xml:space="preserve">Imposto sobre Rendimentos das Pessoas </w:t>
      </w:r>
      <w:r w:rsidR="006778D2" w:rsidRPr="009455E7">
        <w:rPr>
          <w:rFonts w:ascii="Source Sans Pro" w:hAnsi="Source Sans Pro"/>
        </w:rPr>
        <w:t xml:space="preserve">Singulares, que </w:t>
      </w:r>
      <w:r w:rsidR="00351E9F" w:rsidRPr="009455E7">
        <w:rPr>
          <w:rFonts w:ascii="Source Sans Pro" w:hAnsi="Source Sans Pro"/>
        </w:rPr>
        <w:t>se situou</w:t>
      </w:r>
      <w:r w:rsidR="006778D2" w:rsidRPr="009455E7">
        <w:rPr>
          <w:rFonts w:ascii="Source Sans Pro" w:hAnsi="Source Sans Pro"/>
        </w:rPr>
        <w:t xml:space="preserve">, </w:t>
      </w:r>
      <w:r w:rsidR="00861620" w:rsidRPr="009455E7">
        <w:rPr>
          <w:rFonts w:ascii="Source Sans Pro" w:hAnsi="Source Sans Pro"/>
        </w:rPr>
        <w:t>no período</w:t>
      </w:r>
      <w:r w:rsidR="006778D2" w:rsidRPr="009455E7">
        <w:rPr>
          <w:rFonts w:ascii="Source Sans Pro" w:hAnsi="Source Sans Pro"/>
        </w:rPr>
        <w:t xml:space="preserve"> em análise,</w:t>
      </w:r>
      <w:r w:rsidR="00861620" w:rsidRPr="009455E7">
        <w:rPr>
          <w:rFonts w:ascii="Source Sans Pro" w:hAnsi="Source Sans Pro"/>
        </w:rPr>
        <w:t xml:space="preserve"> </w:t>
      </w:r>
      <w:r w:rsidR="006778D2" w:rsidRPr="009455E7">
        <w:rPr>
          <w:rFonts w:ascii="Source Sans Pro" w:hAnsi="Source Sans Pro"/>
        </w:rPr>
        <w:t>em</w:t>
      </w:r>
      <w:r w:rsidR="00861620" w:rsidRPr="009455E7">
        <w:rPr>
          <w:rFonts w:ascii="Source Sans Pro" w:hAnsi="Source Sans Pro"/>
        </w:rPr>
        <w:t xml:space="preserve"> </w:t>
      </w:r>
      <w:r w:rsidR="009C09EF" w:rsidRPr="009455E7">
        <w:rPr>
          <w:rFonts w:ascii="Source Sans Pro" w:hAnsi="Source Sans Pro"/>
        </w:rPr>
        <w:t>3.12</w:t>
      </w:r>
      <w:r w:rsidR="00D12DFF">
        <w:rPr>
          <w:rFonts w:ascii="Source Sans Pro" w:hAnsi="Source Sans Pro"/>
        </w:rPr>
        <w:t>5,8</w:t>
      </w:r>
      <w:r w:rsidR="009C09EF" w:rsidRPr="009455E7">
        <w:rPr>
          <w:rFonts w:ascii="Source Sans Pro" w:hAnsi="Source Sans Pro"/>
        </w:rPr>
        <w:t xml:space="preserve"> </w:t>
      </w:r>
      <w:r w:rsidRPr="009455E7">
        <w:rPr>
          <w:rFonts w:ascii="Source Sans Pro" w:hAnsi="Source Sans Pro"/>
        </w:rPr>
        <w:t>milhões de CVE, regist</w:t>
      </w:r>
      <w:r w:rsidR="0069715D" w:rsidRPr="009455E7">
        <w:rPr>
          <w:rFonts w:ascii="Source Sans Pro" w:hAnsi="Source Sans Pro"/>
        </w:rPr>
        <w:t xml:space="preserve">ando uma evolução </w:t>
      </w:r>
      <w:r w:rsidR="00263872" w:rsidRPr="009455E7">
        <w:rPr>
          <w:rFonts w:ascii="Source Sans Pro" w:hAnsi="Source Sans Pro"/>
        </w:rPr>
        <w:t xml:space="preserve">negativa, </w:t>
      </w:r>
      <w:r w:rsidR="0069715D" w:rsidRPr="009455E7">
        <w:rPr>
          <w:rFonts w:ascii="Source Sans Pro" w:hAnsi="Source Sans Pro"/>
        </w:rPr>
        <w:t>em termos homó</w:t>
      </w:r>
      <w:r w:rsidRPr="009455E7">
        <w:rPr>
          <w:rFonts w:ascii="Source Sans Pro" w:hAnsi="Source Sans Pro"/>
        </w:rPr>
        <w:t>logo</w:t>
      </w:r>
      <w:r w:rsidR="00263872" w:rsidRPr="009455E7">
        <w:rPr>
          <w:rFonts w:ascii="Source Sans Pro" w:hAnsi="Source Sans Pro"/>
        </w:rPr>
        <w:t xml:space="preserve">, de </w:t>
      </w:r>
      <w:r w:rsidR="009C09EF" w:rsidRPr="009455E7">
        <w:rPr>
          <w:rFonts w:ascii="Source Sans Pro" w:hAnsi="Source Sans Pro"/>
        </w:rPr>
        <w:t>289,9 milhões de CVE (-8,5</w:t>
      </w:r>
      <w:r w:rsidR="00F66493" w:rsidRPr="009455E7">
        <w:rPr>
          <w:rFonts w:ascii="Source Sans Pro" w:hAnsi="Source Sans Pro"/>
        </w:rPr>
        <w:t>%</w:t>
      </w:r>
      <w:r w:rsidR="00861620" w:rsidRPr="009455E7">
        <w:rPr>
          <w:rFonts w:ascii="Source Sans Pro" w:hAnsi="Source Sans Pro"/>
        </w:rPr>
        <w:t>)</w:t>
      </w:r>
      <w:r w:rsidR="00E91DAA" w:rsidRPr="009455E7">
        <w:rPr>
          <w:rFonts w:ascii="Source Sans Pro" w:hAnsi="Source Sans Pro"/>
        </w:rPr>
        <w:t>.</w:t>
      </w:r>
      <w:r w:rsidRPr="009455E7">
        <w:rPr>
          <w:rFonts w:ascii="Source Sans Pro" w:hAnsi="Source Sans Pro"/>
        </w:rPr>
        <w:t xml:space="preserve"> </w:t>
      </w:r>
      <w:r w:rsidR="003330FB" w:rsidRPr="008878E0">
        <w:rPr>
          <w:rFonts w:ascii="Source Sans Pro" w:hAnsi="Source Sans Pro"/>
        </w:rPr>
        <w:t xml:space="preserve">Esta variação decorre do facto de que nos três primeiros meses de 2020 não se ter sentido os impactos negativos da pandemia da Covid-19; enquanto </w:t>
      </w:r>
      <w:r w:rsidR="003330FB">
        <w:rPr>
          <w:rFonts w:ascii="Source Sans Pro" w:hAnsi="Source Sans Pro"/>
        </w:rPr>
        <w:t>que, em 2021, até finais de jul</w:t>
      </w:r>
      <w:r w:rsidR="003330FB" w:rsidRPr="008878E0">
        <w:rPr>
          <w:rFonts w:ascii="Source Sans Pro" w:hAnsi="Source Sans Pro"/>
        </w:rPr>
        <w:t>ho, continuamos a registar os impactos negativos da pandemia, afetando o emprego e os rendimentos das pessoas singulares.</w:t>
      </w:r>
    </w:p>
    <w:p w:rsidR="00972D83" w:rsidRPr="009455E7" w:rsidRDefault="00731366" w:rsidP="00E2010E">
      <w:pPr>
        <w:pStyle w:val="PargrafodaLista"/>
        <w:numPr>
          <w:ilvl w:val="0"/>
          <w:numId w:val="4"/>
        </w:numPr>
        <w:spacing w:line="360" w:lineRule="auto"/>
        <w:ind w:right="140"/>
        <w:jc w:val="both"/>
        <w:rPr>
          <w:rFonts w:ascii="Source Sans Pro" w:hAnsi="Source Sans Pro"/>
        </w:rPr>
      </w:pPr>
      <w:r w:rsidRPr="009455E7">
        <w:rPr>
          <w:rFonts w:ascii="Source Sans Pro" w:hAnsi="Source Sans Pro"/>
        </w:rPr>
        <w:t>Imposto sobre Re</w:t>
      </w:r>
      <w:r w:rsidR="00263872" w:rsidRPr="009455E7">
        <w:rPr>
          <w:rFonts w:ascii="Source Sans Pro" w:hAnsi="Source Sans Pro"/>
        </w:rPr>
        <w:t xml:space="preserve">ndimentos das Pessoas Coletivas, que </w:t>
      </w:r>
      <w:r w:rsidR="00671FC6" w:rsidRPr="009455E7">
        <w:rPr>
          <w:rFonts w:ascii="Source Sans Pro" w:hAnsi="Source Sans Pro"/>
        </w:rPr>
        <w:t>se cifrou</w:t>
      </w:r>
      <w:r w:rsidR="00263872" w:rsidRPr="009455E7">
        <w:rPr>
          <w:rFonts w:ascii="Source Sans Pro" w:hAnsi="Source Sans Pro"/>
        </w:rPr>
        <w:t>,</w:t>
      </w:r>
      <w:r w:rsidRPr="009455E7">
        <w:rPr>
          <w:rFonts w:ascii="Source Sans Pro" w:hAnsi="Source Sans Pro"/>
        </w:rPr>
        <w:t xml:space="preserve"> no período</w:t>
      </w:r>
      <w:r w:rsidR="00263872" w:rsidRPr="009455E7">
        <w:rPr>
          <w:rFonts w:ascii="Source Sans Pro" w:hAnsi="Source Sans Pro"/>
        </w:rPr>
        <w:t>,</w:t>
      </w:r>
      <w:r w:rsidRPr="009455E7">
        <w:rPr>
          <w:rFonts w:ascii="Source Sans Pro" w:hAnsi="Source Sans Pro"/>
        </w:rPr>
        <w:t xml:space="preserve"> em </w:t>
      </w:r>
      <w:r w:rsidR="00863097" w:rsidRPr="009455E7">
        <w:rPr>
          <w:rFonts w:ascii="Source Sans Pro" w:hAnsi="Source Sans Pro"/>
        </w:rPr>
        <w:t xml:space="preserve">1.667,4 </w:t>
      </w:r>
      <w:r w:rsidRPr="009455E7">
        <w:rPr>
          <w:rFonts w:ascii="Source Sans Pro" w:hAnsi="Source Sans Pro"/>
        </w:rPr>
        <w:t>milhões de CVE, registando uma evolução</w:t>
      </w:r>
      <w:r w:rsidR="00263872" w:rsidRPr="009455E7">
        <w:rPr>
          <w:rFonts w:ascii="Source Sans Pro" w:hAnsi="Source Sans Pro"/>
        </w:rPr>
        <w:t xml:space="preserve"> </w:t>
      </w:r>
      <w:r w:rsidR="00863097" w:rsidRPr="009455E7">
        <w:rPr>
          <w:rFonts w:ascii="Source Sans Pro" w:hAnsi="Source Sans Pro"/>
        </w:rPr>
        <w:t>negativa</w:t>
      </w:r>
      <w:r w:rsidRPr="009455E7">
        <w:rPr>
          <w:rFonts w:ascii="Source Sans Pro" w:hAnsi="Source Sans Pro"/>
        </w:rPr>
        <w:t xml:space="preserve"> em termos homólogos de </w:t>
      </w:r>
      <w:r w:rsidR="00863097" w:rsidRPr="009455E7">
        <w:rPr>
          <w:rFonts w:ascii="Source Sans Pro" w:hAnsi="Source Sans Pro"/>
        </w:rPr>
        <w:t xml:space="preserve">532,0 </w:t>
      </w:r>
      <w:r w:rsidR="0006360A" w:rsidRPr="009455E7">
        <w:rPr>
          <w:rFonts w:ascii="Source Sans Pro" w:hAnsi="Source Sans Pro"/>
        </w:rPr>
        <w:t>milhões de CVE (</w:t>
      </w:r>
      <w:r w:rsidR="00863097" w:rsidRPr="009455E7">
        <w:rPr>
          <w:rFonts w:ascii="Source Sans Pro" w:hAnsi="Source Sans Pro"/>
        </w:rPr>
        <w:t>-24,2</w:t>
      </w:r>
      <w:r w:rsidR="0006360A" w:rsidRPr="009455E7">
        <w:rPr>
          <w:rFonts w:ascii="Source Sans Pro" w:hAnsi="Source Sans Pro"/>
        </w:rPr>
        <w:t xml:space="preserve">%) </w:t>
      </w:r>
      <w:r w:rsidR="00E2010E" w:rsidRPr="009455E7">
        <w:rPr>
          <w:rFonts w:ascii="Source Sans Pro" w:hAnsi="Source Sans Pro"/>
        </w:rPr>
        <w:t>sendo a performance homóloga consequência da redução da atividade económica em 2020 face a 2019, logo, com impacto negativo no imposto sobre o lucro anual pagos nos anos seguintes.</w:t>
      </w:r>
    </w:p>
    <w:p w:rsidR="00C07891" w:rsidRPr="009455E7" w:rsidRDefault="00731366" w:rsidP="0025477A">
      <w:pPr>
        <w:pStyle w:val="PargrafodaLista"/>
        <w:numPr>
          <w:ilvl w:val="0"/>
          <w:numId w:val="4"/>
        </w:numPr>
        <w:spacing w:line="360" w:lineRule="auto"/>
        <w:ind w:right="140"/>
        <w:jc w:val="both"/>
        <w:rPr>
          <w:rFonts w:ascii="Source Sans Pro" w:hAnsi="Source Sans Pro"/>
          <w:bCs/>
          <w:sz w:val="10"/>
          <w:szCs w:val="10"/>
          <w:lang w:eastAsia="pt-PT"/>
        </w:rPr>
      </w:pPr>
      <w:r w:rsidRPr="009455E7">
        <w:rPr>
          <w:rFonts w:ascii="Source Sans Pro" w:hAnsi="Source Sans Pro"/>
        </w:rPr>
        <w:t>Tributo Especial Unificado (TEU)</w:t>
      </w:r>
      <w:r w:rsidR="00263872" w:rsidRPr="009455E7">
        <w:rPr>
          <w:rFonts w:ascii="Source Sans Pro" w:hAnsi="Source Sans Pro"/>
        </w:rPr>
        <w:t>, que</w:t>
      </w:r>
      <w:r w:rsidRPr="009455E7">
        <w:rPr>
          <w:rFonts w:ascii="Source Sans Pro" w:hAnsi="Source Sans Pro"/>
        </w:rPr>
        <w:t xml:space="preserve"> registou</w:t>
      </w:r>
      <w:r w:rsidR="00263872" w:rsidRPr="009455E7">
        <w:rPr>
          <w:rFonts w:ascii="Source Sans Pro" w:hAnsi="Source Sans Pro"/>
        </w:rPr>
        <w:t>,</w:t>
      </w:r>
      <w:r w:rsidRPr="009455E7">
        <w:rPr>
          <w:rFonts w:ascii="Source Sans Pro" w:hAnsi="Source Sans Pro"/>
        </w:rPr>
        <w:t xml:space="preserve"> no período em análise</w:t>
      </w:r>
      <w:r w:rsidR="00263872" w:rsidRPr="009455E7">
        <w:rPr>
          <w:rFonts w:ascii="Source Sans Pro" w:hAnsi="Source Sans Pro"/>
        </w:rPr>
        <w:t>,</w:t>
      </w:r>
      <w:r w:rsidRPr="009455E7">
        <w:rPr>
          <w:rFonts w:ascii="Source Sans Pro" w:hAnsi="Source Sans Pro"/>
        </w:rPr>
        <w:t xml:space="preserve"> uma execução de </w:t>
      </w:r>
      <w:r w:rsidR="0048726C" w:rsidRPr="009455E7">
        <w:rPr>
          <w:rFonts w:ascii="Source Sans Pro" w:hAnsi="Source Sans Pro"/>
        </w:rPr>
        <w:t>221</w:t>
      </w:r>
      <w:r w:rsidR="0019791E" w:rsidRPr="009455E7">
        <w:rPr>
          <w:rFonts w:ascii="Source Sans Pro" w:hAnsi="Source Sans Pro"/>
        </w:rPr>
        <w:t xml:space="preserve"> milhões</w:t>
      </w:r>
      <w:r w:rsidRPr="009455E7">
        <w:rPr>
          <w:rFonts w:ascii="Source Sans Pro" w:hAnsi="Source Sans Pro"/>
        </w:rPr>
        <w:t xml:space="preserve"> de CVE, traduzindo</w:t>
      </w:r>
      <w:r w:rsidR="00263872" w:rsidRPr="009455E7">
        <w:rPr>
          <w:rFonts w:ascii="Source Sans Pro" w:hAnsi="Source Sans Pro"/>
        </w:rPr>
        <w:t>-se</w:t>
      </w:r>
      <w:r w:rsidRPr="009455E7">
        <w:rPr>
          <w:rFonts w:ascii="Source Sans Pro" w:hAnsi="Source Sans Pro"/>
        </w:rPr>
        <w:t xml:space="preserve"> </w:t>
      </w:r>
      <w:r w:rsidR="004540B6" w:rsidRPr="009455E7">
        <w:rPr>
          <w:rFonts w:ascii="Source Sans Pro" w:hAnsi="Source Sans Pro"/>
        </w:rPr>
        <w:t>n</w:t>
      </w:r>
      <w:r w:rsidR="006B43A0" w:rsidRPr="009455E7">
        <w:rPr>
          <w:rFonts w:ascii="Source Sans Pro" w:hAnsi="Source Sans Pro"/>
        </w:rPr>
        <w:t xml:space="preserve">uma evolução negativa de </w:t>
      </w:r>
      <w:r w:rsidR="0048726C" w:rsidRPr="009455E7">
        <w:rPr>
          <w:rFonts w:ascii="Source Sans Pro" w:hAnsi="Source Sans Pro"/>
        </w:rPr>
        <w:t xml:space="preserve">60,6 </w:t>
      </w:r>
      <w:r w:rsidRPr="009455E7">
        <w:rPr>
          <w:rFonts w:ascii="Source Sans Pro" w:hAnsi="Source Sans Pro"/>
        </w:rPr>
        <w:t xml:space="preserve">milhões de CVE </w:t>
      </w:r>
      <w:r w:rsidR="00C07891" w:rsidRPr="009455E7">
        <w:rPr>
          <w:rFonts w:ascii="Source Sans Pro" w:hAnsi="Source Sans Pro"/>
        </w:rPr>
        <w:t>(</w:t>
      </w:r>
      <w:r w:rsidR="0089632C" w:rsidRPr="009455E7">
        <w:rPr>
          <w:rFonts w:ascii="Source Sans Pro" w:hAnsi="Source Sans Pro"/>
        </w:rPr>
        <w:t>-</w:t>
      </w:r>
      <w:r w:rsidR="0048726C" w:rsidRPr="009455E7">
        <w:rPr>
          <w:rFonts w:ascii="Source Sans Pro" w:hAnsi="Source Sans Pro"/>
        </w:rPr>
        <w:t>21,5</w:t>
      </w:r>
      <w:r w:rsidR="0089632C" w:rsidRPr="009455E7">
        <w:rPr>
          <w:rFonts w:ascii="Source Sans Pro" w:hAnsi="Source Sans Pro"/>
        </w:rPr>
        <w:t>%</w:t>
      </w:r>
      <w:r w:rsidRPr="009455E7">
        <w:rPr>
          <w:rFonts w:ascii="Source Sans Pro" w:hAnsi="Source Sans Pro"/>
        </w:rPr>
        <w:t>)</w:t>
      </w:r>
      <w:r w:rsidR="00F66493" w:rsidRPr="009455E7">
        <w:rPr>
          <w:rFonts w:ascii="Source Sans Pro" w:hAnsi="Source Sans Pro"/>
        </w:rPr>
        <w:t xml:space="preserve"> em relação ao mesmo período do ano anterior</w:t>
      </w:r>
      <w:r w:rsidR="00263872" w:rsidRPr="009455E7">
        <w:rPr>
          <w:rFonts w:ascii="Source Sans Pro" w:hAnsi="Source Sans Pro"/>
        </w:rPr>
        <w:t xml:space="preserve">. </w:t>
      </w:r>
      <w:r w:rsidR="003330FB" w:rsidRPr="00765863">
        <w:rPr>
          <w:rFonts w:ascii="Source Sans Pro" w:hAnsi="Source Sans Pro"/>
        </w:rPr>
        <w:t>Esta variação é explicada pelos fortes impactos da crise provocada pela Covid-19 nos contribuintes do REMPE, pelo</w:t>
      </w:r>
      <w:r w:rsidR="003330FB">
        <w:rPr>
          <w:rFonts w:ascii="Source Sans Pro" w:hAnsi="Source Sans Pro"/>
        </w:rPr>
        <w:t xml:space="preserve"> a</w:t>
      </w:r>
      <w:r w:rsidR="003330FB" w:rsidRPr="00765863">
        <w:rPr>
          <w:rFonts w:ascii="Source Sans Pro" w:hAnsi="Source Sans Pro"/>
        </w:rPr>
        <w:t>umento dos prazos trimestrais de entrega do Tributo e pelo pagamento em prestações mais alargadas que o OE 2021 veio prever.</w:t>
      </w:r>
    </w:p>
    <w:p w:rsidR="008A6C4B" w:rsidRPr="009455E7" w:rsidRDefault="008A6C4B" w:rsidP="008A6C4B">
      <w:pPr>
        <w:pStyle w:val="PargrafodaLista"/>
        <w:spacing w:line="360" w:lineRule="auto"/>
        <w:ind w:left="720" w:right="140"/>
        <w:jc w:val="both"/>
        <w:rPr>
          <w:rFonts w:ascii="Source Sans Pro" w:hAnsi="Source Sans Pro"/>
          <w:bCs/>
          <w:sz w:val="10"/>
          <w:szCs w:val="10"/>
          <w:lang w:eastAsia="pt-PT"/>
        </w:rPr>
      </w:pPr>
    </w:p>
    <w:p w:rsidR="00945B41" w:rsidRPr="009455E7" w:rsidRDefault="00945B41" w:rsidP="00A03F74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lastRenderedPageBreak/>
        <w:t xml:space="preserve">Quanto aos impostos indiretos, o decréscimo de </w:t>
      </w:r>
      <w:r w:rsidR="007279FA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2,3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% deveu-se, essencialmente, às variações conjugadas das seguintes rúbricas: </w:t>
      </w:r>
    </w:p>
    <w:p w:rsidR="00972D83" w:rsidRPr="009455E7" w:rsidRDefault="008755B8" w:rsidP="008A6C4B">
      <w:pPr>
        <w:pStyle w:val="PargrafodaLista"/>
        <w:numPr>
          <w:ilvl w:val="0"/>
          <w:numId w:val="18"/>
        </w:num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/>
        </w:rPr>
      </w:pPr>
      <w:r w:rsidRPr="009455E7">
        <w:rPr>
          <w:rFonts w:ascii="Source Sans Pro" w:hAnsi="Source Sans Pro"/>
          <w:bCs/>
          <w:lang w:eastAsia="pt-PT"/>
        </w:rPr>
        <w:t>Imposto sobre o Valor Acrescentad</w:t>
      </w:r>
      <w:r w:rsidR="000439D5" w:rsidRPr="009455E7">
        <w:rPr>
          <w:rFonts w:ascii="Source Sans Pro" w:hAnsi="Source Sans Pro"/>
          <w:bCs/>
          <w:lang w:eastAsia="pt-PT"/>
        </w:rPr>
        <w:t>o – o</w:t>
      </w:r>
      <w:r w:rsidRPr="009455E7">
        <w:rPr>
          <w:rFonts w:ascii="Source Sans Pro" w:hAnsi="Source Sans Pro"/>
          <w:bCs/>
          <w:lang w:eastAsia="pt-PT"/>
        </w:rPr>
        <w:t xml:space="preserve"> IVA registou no período em análise uma execução de </w:t>
      </w:r>
      <w:r w:rsidR="00AF4FF8" w:rsidRPr="009455E7">
        <w:rPr>
          <w:rFonts w:ascii="Source Sans Pro" w:hAnsi="Source Sans Pro"/>
          <w:bCs/>
          <w:lang w:eastAsia="pt-PT"/>
        </w:rPr>
        <w:t xml:space="preserve">6.973,0 </w:t>
      </w:r>
      <w:r w:rsidRPr="009455E7">
        <w:rPr>
          <w:rFonts w:ascii="Source Sans Pro" w:hAnsi="Source Sans Pro"/>
          <w:bCs/>
          <w:lang w:eastAsia="pt-PT"/>
        </w:rPr>
        <w:t xml:space="preserve">milhões de CVE, traduzindo uma evolução negativa de </w:t>
      </w:r>
      <w:r w:rsidR="00AF4FF8" w:rsidRPr="009455E7">
        <w:rPr>
          <w:rFonts w:ascii="Source Sans Pro" w:hAnsi="Source Sans Pro"/>
          <w:bCs/>
          <w:lang w:eastAsia="pt-PT"/>
        </w:rPr>
        <w:t xml:space="preserve">396,9 </w:t>
      </w:r>
      <w:r w:rsidRPr="009455E7">
        <w:rPr>
          <w:rFonts w:ascii="Source Sans Pro" w:hAnsi="Source Sans Pro"/>
          <w:bCs/>
          <w:lang w:eastAsia="pt-PT"/>
        </w:rPr>
        <w:t xml:space="preserve">milhões de CVE </w:t>
      </w:r>
      <w:r w:rsidR="00AF4FF8" w:rsidRPr="009455E7">
        <w:rPr>
          <w:rFonts w:ascii="Source Sans Pro" w:hAnsi="Source Sans Pro"/>
          <w:bCs/>
          <w:lang w:eastAsia="pt-PT"/>
        </w:rPr>
        <w:t>(-5,4</w:t>
      </w:r>
      <w:r w:rsidRPr="009455E7">
        <w:rPr>
          <w:rFonts w:ascii="Source Sans Pro" w:hAnsi="Source Sans Pro"/>
          <w:bCs/>
          <w:lang w:eastAsia="pt-PT"/>
        </w:rPr>
        <w:t xml:space="preserve">%). </w:t>
      </w:r>
      <w:r w:rsidR="00C340AA" w:rsidRPr="009455E7">
        <w:rPr>
          <w:rFonts w:ascii="Source Sans Pro" w:hAnsi="Source Sans Pro"/>
          <w:bCs/>
          <w:lang w:eastAsia="pt-PT"/>
        </w:rPr>
        <w:t xml:space="preserve">Por fonte de arrecadação, constatou-se que </w:t>
      </w:r>
      <w:r w:rsidR="00EF5C94" w:rsidRPr="009455E7">
        <w:rPr>
          <w:rFonts w:ascii="Source Sans Pro" w:hAnsi="Source Sans Pro"/>
          <w:bCs/>
          <w:lang w:eastAsia="pt-PT"/>
        </w:rPr>
        <w:t>em sede d</w:t>
      </w:r>
      <w:r w:rsidR="00C340AA" w:rsidRPr="009455E7">
        <w:rPr>
          <w:rFonts w:ascii="Source Sans Pro" w:hAnsi="Source Sans Pro"/>
          <w:bCs/>
          <w:lang w:eastAsia="pt-PT"/>
        </w:rPr>
        <w:t xml:space="preserve">o IVA-DGA apurou-se um acréscimo de </w:t>
      </w:r>
      <w:r w:rsidR="00AF4FF8" w:rsidRPr="009455E7">
        <w:rPr>
          <w:rFonts w:ascii="Source Sans Pro" w:hAnsi="Source Sans Pro"/>
          <w:bCs/>
          <w:lang w:eastAsia="pt-PT"/>
        </w:rPr>
        <w:t>16,1</w:t>
      </w:r>
      <w:r w:rsidR="00C340AA" w:rsidRPr="009455E7">
        <w:rPr>
          <w:rFonts w:ascii="Source Sans Pro" w:hAnsi="Source Sans Pro"/>
          <w:bCs/>
          <w:lang w:eastAsia="pt-PT"/>
        </w:rPr>
        <w:t xml:space="preserve">% enquanto que o IVA-DGCI teve um decréscimo de </w:t>
      </w:r>
      <w:r w:rsidR="00AF4FF8" w:rsidRPr="009455E7">
        <w:rPr>
          <w:rFonts w:ascii="Source Sans Pro" w:hAnsi="Source Sans Pro"/>
          <w:bCs/>
          <w:lang w:eastAsia="pt-PT"/>
        </w:rPr>
        <w:t>28,4</w:t>
      </w:r>
      <w:r w:rsidR="00C340AA" w:rsidRPr="009455E7">
        <w:rPr>
          <w:rFonts w:ascii="Source Sans Pro" w:hAnsi="Source Sans Pro"/>
          <w:bCs/>
          <w:lang w:eastAsia="pt-PT"/>
        </w:rPr>
        <w:t xml:space="preserve">%. </w:t>
      </w:r>
      <w:r w:rsidR="008A6C4B" w:rsidRPr="009455E7">
        <w:rPr>
          <w:rFonts w:ascii="Source Sans Pro" w:hAnsi="Source Sans Pro"/>
        </w:rPr>
        <w:t>Este decréscimo na cobrança deste imposto</w:t>
      </w:r>
      <w:r w:rsidR="009F08F3">
        <w:rPr>
          <w:rFonts w:ascii="Source Sans Pro" w:hAnsi="Source Sans Pro"/>
        </w:rPr>
        <w:t xml:space="preserve"> deriva dos fortes impactos da crise da Covid</w:t>
      </w:r>
      <w:r w:rsidR="008A6C4B" w:rsidRPr="009455E7">
        <w:rPr>
          <w:rFonts w:ascii="Source Sans Pro" w:hAnsi="Source Sans Pro"/>
        </w:rPr>
        <w:t>-19, principalmente a nível do Turismo, e das medidas excecionais decretadas pelo Governo, nomeadamente a possibilidade de pagamento em prestações e a redução da taxa do IVA no Turismo para 10%, que o OE 2021 veio prorrogar em r</w:t>
      </w:r>
      <w:r w:rsidR="00487742">
        <w:rPr>
          <w:rFonts w:ascii="Source Sans Pro" w:hAnsi="Source Sans Pro"/>
        </w:rPr>
        <w:t>elação ao a</w:t>
      </w:r>
      <w:r w:rsidR="008A6C4B" w:rsidRPr="009455E7">
        <w:rPr>
          <w:rFonts w:ascii="Source Sans Pro" w:hAnsi="Source Sans Pro"/>
        </w:rPr>
        <w:t>no 2020.</w:t>
      </w:r>
    </w:p>
    <w:p w:rsidR="003330FB" w:rsidRDefault="000439D5" w:rsidP="00647EAF">
      <w:pPr>
        <w:pStyle w:val="PargrafodaLista"/>
        <w:numPr>
          <w:ilvl w:val="0"/>
          <w:numId w:val="18"/>
        </w:num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/>
          <w:bCs/>
          <w:lang w:eastAsia="pt-PT"/>
        </w:rPr>
      </w:pPr>
      <w:r w:rsidRPr="003330FB">
        <w:rPr>
          <w:rFonts w:ascii="Source Sans Pro" w:hAnsi="Source Sans Pro"/>
          <w:bCs/>
          <w:lang w:eastAsia="pt-PT"/>
        </w:rPr>
        <w:t>Contribuição Turística – a</w:t>
      </w:r>
      <w:r w:rsidR="008755B8" w:rsidRPr="003330FB">
        <w:rPr>
          <w:rFonts w:ascii="Source Sans Pro" w:hAnsi="Source Sans Pro"/>
          <w:bCs/>
          <w:lang w:eastAsia="pt-PT"/>
        </w:rPr>
        <w:t xml:space="preserve"> receita totalizou</w:t>
      </w:r>
      <w:r w:rsidRPr="003330FB">
        <w:rPr>
          <w:rFonts w:ascii="Source Sans Pro" w:hAnsi="Source Sans Pro"/>
          <w:bCs/>
          <w:lang w:eastAsia="pt-PT"/>
        </w:rPr>
        <w:t>,</w:t>
      </w:r>
      <w:r w:rsidR="008755B8" w:rsidRPr="003330FB">
        <w:rPr>
          <w:rFonts w:ascii="Source Sans Pro" w:hAnsi="Source Sans Pro"/>
          <w:bCs/>
          <w:lang w:eastAsia="pt-PT"/>
        </w:rPr>
        <w:t xml:space="preserve"> no período</w:t>
      </w:r>
      <w:r w:rsidRPr="003330FB">
        <w:rPr>
          <w:rFonts w:ascii="Source Sans Pro" w:hAnsi="Source Sans Pro"/>
          <w:bCs/>
          <w:lang w:eastAsia="pt-PT"/>
        </w:rPr>
        <w:t>,</w:t>
      </w:r>
      <w:r w:rsidR="008755B8" w:rsidRPr="003330FB">
        <w:rPr>
          <w:rFonts w:ascii="Source Sans Pro" w:hAnsi="Source Sans Pro"/>
          <w:bCs/>
          <w:lang w:eastAsia="pt-PT"/>
        </w:rPr>
        <w:t xml:space="preserve"> o montante de </w:t>
      </w:r>
      <w:r w:rsidR="00FE25A4" w:rsidRPr="003330FB">
        <w:rPr>
          <w:rFonts w:ascii="Source Sans Pro" w:hAnsi="Source Sans Pro"/>
          <w:bCs/>
          <w:lang w:eastAsia="pt-PT"/>
        </w:rPr>
        <w:t xml:space="preserve">29,3 </w:t>
      </w:r>
      <w:r w:rsidR="008755B8" w:rsidRPr="003330FB">
        <w:rPr>
          <w:rFonts w:ascii="Source Sans Pro" w:hAnsi="Source Sans Pro"/>
          <w:bCs/>
          <w:lang w:eastAsia="pt-PT"/>
        </w:rPr>
        <w:t>milhões de CVE, registando uma evolução em termos hom</w:t>
      </w:r>
      <w:r w:rsidRPr="003330FB">
        <w:rPr>
          <w:rFonts w:ascii="Source Sans Pro" w:hAnsi="Source Sans Pro"/>
          <w:bCs/>
          <w:lang w:eastAsia="pt-PT"/>
        </w:rPr>
        <w:t xml:space="preserve">ólogos de </w:t>
      </w:r>
      <w:r w:rsidR="00FE25A4" w:rsidRPr="003330FB">
        <w:rPr>
          <w:rFonts w:ascii="Source Sans Pro" w:hAnsi="Source Sans Pro"/>
          <w:bCs/>
          <w:lang w:eastAsia="pt-PT"/>
        </w:rPr>
        <w:t xml:space="preserve">-260,2 </w:t>
      </w:r>
      <w:r w:rsidRPr="003330FB">
        <w:rPr>
          <w:rFonts w:ascii="Source Sans Pro" w:hAnsi="Source Sans Pro"/>
          <w:bCs/>
          <w:lang w:eastAsia="pt-PT"/>
        </w:rPr>
        <w:t>milhões de CVE</w:t>
      </w:r>
      <w:r w:rsidR="00E53D9C" w:rsidRPr="003330FB">
        <w:rPr>
          <w:rFonts w:ascii="Source Sans Pro" w:hAnsi="Source Sans Pro"/>
          <w:bCs/>
          <w:lang w:eastAsia="pt-PT"/>
        </w:rPr>
        <w:t xml:space="preserve"> (-89,9</w:t>
      </w:r>
      <w:r w:rsidR="00972344" w:rsidRPr="003330FB">
        <w:rPr>
          <w:rFonts w:ascii="Source Sans Pro" w:hAnsi="Source Sans Pro"/>
          <w:bCs/>
          <w:lang w:eastAsia="pt-PT"/>
        </w:rPr>
        <w:t>%</w:t>
      </w:r>
      <w:r w:rsidR="00E53D9C" w:rsidRPr="003330FB">
        <w:rPr>
          <w:rFonts w:ascii="Source Sans Pro" w:hAnsi="Source Sans Pro"/>
          <w:bCs/>
          <w:lang w:eastAsia="pt-PT"/>
        </w:rPr>
        <w:t>)</w:t>
      </w:r>
      <w:r w:rsidR="008755B8" w:rsidRPr="003330FB">
        <w:rPr>
          <w:rFonts w:ascii="Source Sans Pro" w:hAnsi="Source Sans Pro"/>
          <w:bCs/>
          <w:lang w:eastAsia="pt-PT"/>
        </w:rPr>
        <w:t xml:space="preserve">, </w:t>
      </w:r>
      <w:r w:rsidR="003330FB">
        <w:rPr>
          <w:rFonts w:ascii="Source Sans Pro" w:hAnsi="Source Sans Pro"/>
          <w:bCs/>
          <w:lang w:eastAsia="pt-PT"/>
        </w:rPr>
        <w:t>resultante</w:t>
      </w:r>
      <w:r w:rsidR="003330FB" w:rsidRPr="008878E0">
        <w:rPr>
          <w:rFonts w:ascii="Source Sans Pro" w:hAnsi="Source Sans Pro"/>
          <w:bCs/>
          <w:lang w:eastAsia="pt-PT"/>
        </w:rPr>
        <w:t xml:space="preserve"> </w:t>
      </w:r>
      <w:r w:rsidR="003330FB">
        <w:rPr>
          <w:rFonts w:ascii="Source Sans Pro" w:hAnsi="Source Sans Pro"/>
          <w:bCs/>
          <w:lang w:eastAsia="pt-PT"/>
        </w:rPr>
        <w:t>d</w:t>
      </w:r>
      <w:r w:rsidR="003330FB" w:rsidRPr="008878E0">
        <w:rPr>
          <w:rFonts w:ascii="Source Sans Pro" w:hAnsi="Source Sans Pro"/>
          <w:bCs/>
          <w:lang w:eastAsia="pt-PT"/>
        </w:rPr>
        <w:t>o facto das dormidas em estabelecimentos hoteleiros ainda estarem a sofrer um forte impacto da crise da Covid-19, com um nível baixíssimo de entradas de turistas do exterior, devido às restrições de viagens de lazer da maior parte dos países no Mundo, sendo o turismo interno marginal</w:t>
      </w:r>
      <w:r w:rsidR="003330FB">
        <w:rPr>
          <w:rFonts w:ascii="Source Sans Pro" w:hAnsi="Source Sans Pro"/>
          <w:bCs/>
          <w:lang w:eastAsia="pt-PT"/>
        </w:rPr>
        <w:t>.</w:t>
      </w:r>
    </w:p>
    <w:p w:rsidR="008755B8" w:rsidRPr="003330FB" w:rsidRDefault="008755B8" w:rsidP="00647EAF">
      <w:pPr>
        <w:pStyle w:val="PargrafodaLista"/>
        <w:numPr>
          <w:ilvl w:val="0"/>
          <w:numId w:val="18"/>
        </w:num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/>
          <w:bCs/>
          <w:lang w:eastAsia="pt-PT"/>
        </w:rPr>
      </w:pPr>
      <w:r w:rsidRPr="003330FB">
        <w:rPr>
          <w:rFonts w:ascii="Source Sans Pro" w:hAnsi="Source Sans Pro"/>
          <w:bCs/>
          <w:lang w:eastAsia="pt-PT"/>
        </w:rPr>
        <w:t xml:space="preserve">Impostos sobre Transações Internacionais </w:t>
      </w:r>
      <w:r w:rsidR="000439D5" w:rsidRPr="003330FB">
        <w:rPr>
          <w:rFonts w:ascii="Source Sans Pro" w:hAnsi="Source Sans Pro"/>
          <w:bCs/>
          <w:lang w:eastAsia="pt-PT"/>
        </w:rPr>
        <w:t>–</w:t>
      </w:r>
      <w:r w:rsidRPr="003330FB">
        <w:rPr>
          <w:rFonts w:ascii="Source Sans Pro" w:hAnsi="Source Sans Pro"/>
          <w:bCs/>
          <w:lang w:eastAsia="pt-PT"/>
        </w:rPr>
        <w:t xml:space="preserve"> </w:t>
      </w:r>
      <w:r w:rsidR="000439D5" w:rsidRPr="003330FB">
        <w:rPr>
          <w:rFonts w:ascii="Source Sans Pro" w:hAnsi="Source Sans Pro"/>
          <w:bCs/>
          <w:lang w:eastAsia="pt-PT"/>
        </w:rPr>
        <w:t>a receita registou</w:t>
      </w:r>
      <w:r w:rsidR="00DF04F7" w:rsidRPr="003330FB">
        <w:rPr>
          <w:rFonts w:ascii="Source Sans Pro" w:hAnsi="Source Sans Pro"/>
          <w:bCs/>
          <w:lang w:eastAsia="pt-PT"/>
        </w:rPr>
        <w:t xml:space="preserve"> um</w:t>
      </w:r>
      <w:r w:rsidRPr="003330FB">
        <w:rPr>
          <w:rFonts w:ascii="Source Sans Pro" w:hAnsi="Source Sans Pro"/>
          <w:bCs/>
          <w:lang w:eastAsia="pt-PT"/>
        </w:rPr>
        <w:t xml:space="preserve"> </w:t>
      </w:r>
      <w:r w:rsidR="00C07891" w:rsidRPr="003330FB">
        <w:rPr>
          <w:rFonts w:ascii="Source Sans Pro" w:hAnsi="Source Sans Pro"/>
          <w:bCs/>
          <w:lang w:eastAsia="pt-PT"/>
        </w:rPr>
        <w:t xml:space="preserve">acréscimo de </w:t>
      </w:r>
      <w:r w:rsidR="00DE166F" w:rsidRPr="003330FB">
        <w:rPr>
          <w:rFonts w:ascii="Source Sans Pro" w:hAnsi="Source Sans Pro"/>
          <w:bCs/>
          <w:lang w:eastAsia="pt-PT"/>
        </w:rPr>
        <w:t>8,6</w:t>
      </w:r>
      <w:r w:rsidR="00C07891" w:rsidRPr="003330FB">
        <w:rPr>
          <w:rFonts w:ascii="Source Sans Pro" w:hAnsi="Source Sans Pro"/>
          <w:bCs/>
          <w:lang w:eastAsia="pt-PT"/>
        </w:rPr>
        <w:t>% (+</w:t>
      </w:r>
      <w:r w:rsidR="00DE166F" w:rsidRPr="003330FB">
        <w:rPr>
          <w:rFonts w:ascii="Source Sans Pro" w:hAnsi="Source Sans Pro"/>
          <w:bCs/>
          <w:lang w:eastAsia="pt-PT"/>
        </w:rPr>
        <w:t xml:space="preserve">323,4 </w:t>
      </w:r>
      <w:r w:rsidRPr="003330FB">
        <w:rPr>
          <w:rFonts w:ascii="Source Sans Pro" w:hAnsi="Source Sans Pro"/>
          <w:bCs/>
          <w:lang w:eastAsia="pt-PT"/>
        </w:rPr>
        <w:t>milhões de CVE), comparado ao mesmo período do ano anterior. A performance destes impostos está intrinsecamente ligada à importação. Em termos desagregados, em face ao período homólogo de 2020, ve</w:t>
      </w:r>
      <w:r w:rsidR="00DF04F7" w:rsidRPr="003330FB">
        <w:rPr>
          <w:rFonts w:ascii="Source Sans Pro" w:hAnsi="Source Sans Pro"/>
          <w:bCs/>
          <w:lang w:eastAsia="pt-PT"/>
        </w:rPr>
        <w:t>rificou-se uma variação positiva</w:t>
      </w:r>
      <w:r w:rsidR="00861620" w:rsidRPr="003330FB">
        <w:rPr>
          <w:rFonts w:ascii="Source Sans Pro" w:hAnsi="Source Sans Pro"/>
          <w:bCs/>
          <w:lang w:eastAsia="pt-PT"/>
        </w:rPr>
        <w:t xml:space="preserve"> </w:t>
      </w:r>
      <w:r w:rsidR="00CF71E5" w:rsidRPr="003330FB">
        <w:rPr>
          <w:rFonts w:ascii="Source Sans Pro" w:hAnsi="Source Sans Pro"/>
          <w:bCs/>
          <w:lang w:eastAsia="pt-PT"/>
        </w:rPr>
        <w:t>no Direito</w:t>
      </w:r>
      <w:r w:rsidRPr="003330FB">
        <w:rPr>
          <w:rFonts w:ascii="Source Sans Pro" w:hAnsi="Source Sans Pro"/>
          <w:bCs/>
          <w:lang w:eastAsia="pt-PT"/>
        </w:rPr>
        <w:t xml:space="preserve"> de Importação em </w:t>
      </w:r>
      <w:r w:rsidR="001808FB" w:rsidRPr="003330FB">
        <w:rPr>
          <w:rFonts w:ascii="Source Sans Pro" w:hAnsi="Source Sans Pro"/>
          <w:bCs/>
          <w:lang w:eastAsia="pt-PT"/>
        </w:rPr>
        <w:t>8,7</w:t>
      </w:r>
      <w:r w:rsidR="00DF04F7" w:rsidRPr="003330FB">
        <w:rPr>
          <w:rFonts w:ascii="Source Sans Pro" w:hAnsi="Source Sans Pro"/>
          <w:bCs/>
          <w:lang w:eastAsia="pt-PT"/>
        </w:rPr>
        <w:t>% (+</w:t>
      </w:r>
      <w:r w:rsidR="001808FB" w:rsidRPr="003330FB">
        <w:rPr>
          <w:rFonts w:ascii="Source Sans Pro" w:hAnsi="Source Sans Pro"/>
          <w:bCs/>
          <w:lang w:eastAsia="pt-PT"/>
        </w:rPr>
        <w:t xml:space="preserve">314,6 </w:t>
      </w:r>
      <w:r w:rsidR="004540B6" w:rsidRPr="003330FB">
        <w:rPr>
          <w:rFonts w:ascii="Source Sans Pro" w:hAnsi="Source Sans Pro"/>
          <w:bCs/>
          <w:lang w:eastAsia="pt-PT"/>
        </w:rPr>
        <w:t xml:space="preserve">milhões de CVE) </w:t>
      </w:r>
      <w:r w:rsidR="00CF71E5" w:rsidRPr="003330FB">
        <w:rPr>
          <w:rFonts w:ascii="Source Sans Pro" w:hAnsi="Source Sans Pro"/>
          <w:bCs/>
          <w:lang w:eastAsia="pt-PT"/>
        </w:rPr>
        <w:t xml:space="preserve">e </w:t>
      </w:r>
      <w:r w:rsidR="009F08F3" w:rsidRPr="003330FB">
        <w:rPr>
          <w:rFonts w:ascii="Source Sans Pro" w:hAnsi="Source Sans Pro"/>
          <w:bCs/>
          <w:lang w:eastAsia="pt-PT"/>
        </w:rPr>
        <w:t>d</w:t>
      </w:r>
      <w:r w:rsidR="00CF71E5" w:rsidRPr="003330FB">
        <w:rPr>
          <w:rFonts w:ascii="Source Sans Pro" w:hAnsi="Source Sans Pro"/>
          <w:bCs/>
          <w:lang w:eastAsia="pt-PT"/>
        </w:rPr>
        <w:t xml:space="preserve">a </w:t>
      </w:r>
      <w:r w:rsidRPr="003330FB">
        <w:rPr>
          <w:rFonts w:ascii="Source Sans Pro" w:hAnsi="Source Sans Pro"/>
          <w:bCs/>
          <w:lang w:eastAsia="pt-PT"/>
        </w:rPr>
        <w:t>Taxa Comunitária CEDEAO</w:t>
      </w:r>
      <w:r w:rsidR="00CF71E5" w:rsidRPr="003330FB">
        <w:rPr>
          <w:rFonts w:ascii="Source Sans Pro" w:hAnsi="Source Sans Pro"/>
          <w:bCs/>
          <w:lang w:eastAsia="pt-PT"/>
        </w:rPr>
        <w:t xml:space="preserve"> em</w:t>
      </w:r>
      <w:r w:rsidR="00FF0E23" w:rsidRPr="003330FB">
        <w:rPr>
          <w:rFonts w:ascii="Source Sans Pro" w:hAnsi="Source Sans Pro"/>
          <w:bCs/>
          <w:lang w:eastAsia="pt-PT"/>
        </w:rPr>
        <w:t xml:space="preserve"> </w:t>
      </w:r>
      <w:r w:rsidR="001808FB" w:rsidRPr="003330FB">
        <w:rPr>
          <w:rFonts w:ascii="Source Sans Pro" w:hAnsi="Source Sans Pro"/>
          <w:bCs/>
          <w:lang w:eastAsia="pt-PT"/>
        </w:rPr>
        <w:t>5,1</w:t>
      </w:r>
      <w:r w:rsidR="00C07891" w:rsidRPr="003330FB">
        <w:rPr>
          <w:rFonts w:ascii="Source Sans Pro" w:hAnsi="Source Sans Pro"/>
          <w:bCs/>
          <w:lang w:eastAsia="pt-PT"/>
        </w:rPr>
        <w:t>% (+</w:t>
      </w:r>
      <w:r w:rsidR="001808FB" w:rsidRPr="003330FB">
        <w:rPr>
          <w:rFonts w:ascii="Source Sans Pro" w:hAnsi="Source Sans Pro"/>
          <w:bCs/>
          <w:lang w:eastAsia="pt-PT"/>
        </w:rPr>
        <w:t xml:space="preserve">8,7 </w:t>
      </w:r>
      <w:r w:rsidR="006B43A0" w:rsidRPr="003330FB">
        <w:rPr>
          <w:rFonts w:ascii="Source Sans Pro" w:hAnsi="Source Sans Pro"/>
          <w:bCs/>
          <w:lang w:eastAsia="pt-PT"/>
        </w:rPr>
        <w:t>milhões de CVE).</w:t>
      </w:r>
    </w:p>
    <w:p w:rsidR="00972D83" w:rsidRPr="00412312" w:rsidRDefault="00972D83" w:rsidP="00972D83">
      <w:pPr>
        <w:pStyle w:val="PargrafodaLista"/>
        <w:rPr>
          <w:rFonts w:ascii="Source Sans Pro" w:hAnsi="Source Sans Pro"/>
          <w:bCs/>
          <w:sz w:val="4"/>
          <w:szCs w:val="4"/>
          <w:lang w:eastAsia="pt-PT"/>
        </w:rPr>
      </w:pPr>
    </w:p>
    <w:p w:rsidR="00783687" w:rsidRPr="009455E7" w:rsidRDefault="00783687" w:rsidP="00EB4B05">
      <w:pPr>
        <w:pStyle w:val="PargrafodaLista"/>
        <w:tabs>
          <w:tab w:val="left" w:pos="851"/>
        </w:tabs>
        <w:suppressAutoHyphens w:val="0"/>
        <w:autoSpaceDN/>
        <w:spacing w:line="360" w:lineRule="auto"/>
        <w:ind w:left="426" w:right="140"/>
        <w:contextualSpacing/>
        <w:jc w:val="both"/>
        <w:textAlignment w:val="auto"/>
        <w:rPr>
          <w:rFonts w:ascii="Source Sans Pro" w:hAnsi="Source Sans Pro" w:cstheme="minorHAnsi"/>
          <w:bCs/>
          <w:sz w:val="2"/>
          <w:szCs w:val="2"/>
          <w:lang w:eastAsia="pt-PT"/>
        </w:rPr>
      </w:pPr>
    </w:p>
    <w:p w:rsidR="00972D83" w:rsidRPr="00AC71D6" w:rsidRDefault="000439D5" w:rsidP="00F37E74">
      <w:pPr>
        <w:pStyle w:val="PargrafodaLista"/>
        <w:numPr>
          <w:ilvl w:val="0"/>
          <w:numId w:val="18"/>
        </w:num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/>
          <w:bCs/>
          <w:lang w:eastAsia="pt-PT"/>
        </w:rPr>
      </w:pPr>
      <w:r w:rsidRPr="009455E7">
        <w:rPr>
          <w:rFonts w:ascii="Source Sans Pro" w:hAnsi="Source Sans Pro"/>
          <w:bCs/>
          <w:lang w:eastAsia="pt-PT"/>
        </w:rPr>
        <w:t>Imposto de Selo – a</w:t>
      </w:r>
      <w:r w:rsidR="008755B8" w:rsidRPr="009455E7">
        <w:rPr>
          <w:rFonts w:ascii="Source Sans Pro" w:hAnsi="Source Sans Pro"/>
          <w:bCs/>
          <w:lang w:eastAsia="pt-PT"/>
        </w:rPr>
        <w:t xml:space="preserve"> cobrança em sede do imposto de selo teve uma evolução </w:t>
      </w:r>
      <w:r w:rsidR="00FF0E23" w:rsidRPr="009455E7">
        <w:rPr>
          <w:rFonts w:ascii="Source Sans Pro" w:hAnsi="Source Sans Pro"/>
          <w:bCs/>
          <w:lang w:eastAsia="pt-PT"/>
        </w:rPr>
        <w:t xml:space="preserve">positiva em termos homólogos de </w:t>
      </w:r>
      <w:r w:rsidR="00061B6E" w:rsidRPr="009455E7">
        <w:rPr>
          <w:rFonts w:ascii="Source Sans Pro" w:hAnsi="Source Sans Pro"/>
          <w:bCs/>
          <w:lang w:eastAsia="pt-PT"/>
        </w:rPr>
        <w:t>3,4</w:t>
      </w:r>
      <w:r w:rsidR="00FF0E23" w:rsidRPr="009455E7">
        <w:rPr>
          <w:rFonts w:ascii="Source Sans Pro" w:hAnsi="Source Sans Pro"/>
          <w:bCs/>
          <w:lang w:eastAsia="pt-PT"/>
        </w:rPr>
        <w:t>% (+</w:t>
      </w:r>
      <w:r w:rsidR="00061B6E" w:rsidRPr="009455E7">
        <w:rPr>
          <w:rFonts w:ascii="Source Sans Pro" w:hAnsi="Source Sans Pro"/>
          <w:bCs/>
          <w:lang w:eastAsia="pt-PT"/>
        </w:rPr>
        <w:t xml:space="preserve">11,9 </w:t>
      </w:r>
      <w:r w:rsidR="008755B8" w:rsidRPr="009455E7">
        <w:rPr>
          <w:rFonts w:ascii="Source Sans Pro" w:hAnsi="Source Sans Pro"/>
          <w:bCs/>
          <w:lang w:eastAsia="pt-PT"/>
        </w:rPr>
        <w:t xml:space="preserve">milhões de CVE), situando-se em </w:t>
      </w:r>
      <w:r w:rsidR="00061B6E" w:rsidRPr="009455E7">
        <w:rPr>
          <w:rFonts w:ascii="Source Sans Pro" w:hAnsi="Source Sans Pro"/>
          <w:bCs/>
          <w:lang w:eastAsia="pt-PT"/>
        </w:rPr>
        <w:t>366</w:t>
      </w:r>
      <w:r w:rsidR="00706AC4" w:rsidRPr="009455E7">
        <w:rPr>
          <w:rFonts w:ascii="Source Sans Pro" w:hAnsi="Source Sans Pro"/>
          <w:bCs/>
          <w:lang w:eastAsia="pt-PT"/>
        </w:rPr>
        <w:t xml:space="preserve"> </w:t>
      </w:r>
      <w:r w:rsidR="008755B8" w:rsidRPr="009455E7">
        <w:rPr>
          <w:rFonts w:ascii="Source Sans Pro" w:hAnsi="Source Sans Pro"/>
          <w:bCs/>
          <w:lang w:eastAsia="pt-PT"/>
        </w:rPr>
        <w:t xml:space="preserve">milhões de CVE, </w:t>
      </w:r>
      <w:r w:rsidR="00F37E74" w:rsidRPr="009455E7">
        <w:rPr>
          <w:rFonts w:ascii="Source Sans Pro" w:hAnsi="Source Sans Pro"/>
          <w:bCs/>
          <w:lang w:eastAsia="pt-PT"/>
        </w:rPr>
        <w:t xml:space="preserve">fruto essencialmente de uma atividade bancária relativamente </w:t>
      </w:r>
      <w:r w:rsidR="002F73CC">
        <w:rPr>
          <w:rFonts w:ascii="Source Sans Pro" w:hAnsi="Source Sans Pro"/>
          <w:bCs/>
          <w:lang w:eastAsia="pt-PT"/>
        </w:rPr>
        <w:t>dinâmica</w:t>
      </w:r>
      <w:r w:rsidR="00F37E74" w:rsidRPr="009455E7">
        <w:rPr>
          <w:rFonts w:ascii="Source Sans Pro" w:hAnsi="Source Sans Pro"/>
          <w:bCs/>
          <w:lang w:eastAsia="pt-PT"/>
        </w:rPr>
        <w:t>, apesar das moratórias bancárias decretadas.</w:t>
      </w:r>
    </w:p>
    <w:p w:rsidR="002E3A88" w:rsidRPr="00AC71D6" w:rsidRDefault="00BA4868" w:rsidP="00674393">
      <w:pPr>
        <w:pStyle w:val="PargrafodaLista"/>
        <w:numPr>
          <w:ilvl w:val="0"/>
          <w:numId w:val="18"/>
        </w:num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/>
          <w:bCs/>
          <w:lang w:eastAsia="pt-PT"/>
        </w:rPr>
      </w:pPr>
      <w:r w:rsidRPr="009455E7">
        <w:rPr>
          <w:rFonts w:ascii="Source Sans Pro" w:hAnsi="Source Sans Pro"/>
          <w:bCs/>
          <w:lang w:eastAsia="pt-PT"/>
        </w:rPr>
        <w:t xml:space="preserve">Imposto especial sobre jogos - a cobrança em sede desse imposto </w:t>
      </w:r>
      <w:r w:rsidR="00945B41" w:rsidRPr="009455E7">
        <w:rPr>
          <w:rFonts w:ascii="Source Sans Pro" w:hAnsi="Source Sans Pro"/>
          <w:bCs/>
          <w:lang w:eastAsia="pt-PT"/>
        </w:rPr>
        <w:t xml:space="preserve">foi </w:t>
      </w:r>
      <w:r w:rsidR="009A66FC" w:rsidRPr="009455E7">
        <w:rPr>
          <w:rFonts w:ascii="Source Sans Pro" w:hAnsi="Source Sans Pro"/>
          <w:bCs/>
          <w:lang w:eastAsia="pt-PT"/>
        </w:rPr>
        <w:t xml:space="preserve">de </w:t>
      </w:r>
      <w:r w:rsidR="00937811" w:rsidRPr="009455E7">
        <w:rPr>
          <w:rFonts w:ascii="Source Sans Pro" w:hAnsi="Source Sans Pro"/>
          <w:bCs/>
          <w:lang w:eastAsia="pt-PT"/>
        </w:rPr>
        <w:t xml:space="preserve">14 </w:t>
      </w:r>
      <w:r w:rsidR="009A66FC" w:rsidRPr="009455E7">
        <w:rPr>
          <w:rFonts w:ascii="Source Sans Pro" w:hAnsi="Source Sans Pro"/>
          <w:bCs/>
          <w:lang w:eastAsia="pt-PT"/>
        </w:rPr>
        <w:t>milhões de CVE</w:t>
      </w:r>
      <w:r w:rsidR="00945B41" w:rsidRPr="009455E7">
        <w:rPr>
          <w:rFonts w:ascii="Source Sans Pro" w:hAnsi="Source Sans Pro"/>
          <w:bCs/>
          <w:lang w:eastAsia="pt-PT"/>
        </w:rPr>
        <w:t>,</w:t>
      </w:r>
      <w:r w:rsidR="009A66FC" w:rsidRPr="009455E7">
        <w:rPr>
          <w:rFonts w:ascii="Source Sans Pro" w:hAnsi="Source Sans Pro"/>
          <w:bCs/>
          <w:lang w:eastAsia="pt-PT"/>
        </w:rPr>
        <w:t xml:space="preserve"> registando uma evolução</w:t>
      </w:r>
      <w:r w:rsidR="004E5395" w:rsidRPr="009455E7">
        <w:rPr>
          <w:rFonts w:ascii="Source Sans Pro" w:hAnsi="Source Sans Pro"/>
          <w:bCs/>
          <w:lang w:eastAsia="pt-PT"/>
        </w:rPr>
        <w:t xml:space="preserve"> negativa em</w:t>
      </w:r>
      <w:r w:rsidR="009A66FC" w:rsidRPr="009455E7">
        <w:rPr>
          <w:rFonts w:ascii="Source Sans Pro" w:hAnsi="Source Sans Pro"/>
          <w:bCs/>
          <w:lang w:eastAsia="pt-PT"/>
        </w:rPr>
        <w:t xml:space="preserve"> termos homólogos </w:t>
      </w:r>
      <w:r w:rsidR="000439D5" w:rsidRPr="009455E7">
        <w:rPr>
          <w:rFonts w:ascii="Source Sans Pro" w:hAnsi="Source Sans Pro"/>
          <w:bCs/>
          <w:lang w:eastAsia="pt-PT"/>
        </w:rPr>
        <w:t xml:space="preserve">de </w:t>
      </w:r>
      <w:r w:rsidR="00937811" w:rsidRPr="009455E7">
        <w:rPr>
          <w:rFonts w:ascii="Source Sans Pro" w:hAnsi="Source Sans Pro"/>
          <w:bCs/>
          <w:lang w:eastAsia="pt-PT"/>
        </w:rPr>
        <w:t>27,8</w:t>
      </w:r>
      <w:r w:rsidR="000439D5" w:rsidRPr="009455E7">
        <w:rPr>
          <w:rFonts w:ascii="Source Sans Pro" w:hAnsi="Source Sans Pro"/>
          <w:bCs/>
          <w:lang w:eastAsia="pt-PT"/>
        </w:rPr>
        <w:t>% (</w:t>
      </w:r>
      <w:r w:rsidR="00937811" w:rsidRPr="009455E7">
        <w:rPr>
          <w:rFonts w:ascii="Source Sans Pro" w:hAnsi="Source Sans Pro"/>
          <w:bCs/>
          <w:lang w:eastAsia="pt-PT"/>
        </w:rPr>
        <w:t xml:space="preserve">-5,3 </w:t>
      </w:r>
      <w:r w:rsidR="009A66FC" w:rsidRPr="009455E7">
        <w:rPr>
          <w:rFonts w:ascii="Source Sans Pro" w:hAnsi="Source Sans Pro"/>
          <w:bCs/>
          <w:lang w:eastAsia="pt-PT"/>
        </w:rPr>
        <w:t>milhões de CVE</w:t>
      </w:r>
      <w:r w:rsidR="004E5395" w:rsidRPr="009455E7">
        <w:rPr>
          <w:rFonts w:ascii="Source Sans Pro" w:hAnsi="Source Sans Pro"/>
          <w:bCs/>
          <w:lang w:eastAsia="pt-PT"/>
        </w:rPr>
        <w:t>)</w:t>
      </w:r>
      <w:r w:rsidR="0069715D" w:rsidRPr="009455E7">
        <w:rPr>
          <w:rFonts w:ascii="Source Sans Pro" w:hAnsi="Source Sans Pro"/>
          <w:bCs/>
          <w:lang w:eastAsia="pt-PT"/>
        </w:rPr>
        <w:t>,</w:t>
      </w:r>
      <w:r w:rsidR="004E5395" w:rsidRPr="009455E7">
        <w:rPr>
          <w:rFonts w:ascii="Source Sans Pro" w:hAnsi="Source Sans Pro"/>
          <w:bCs/>
          <w:lang w:eastAsia="pt-PT"/>
        </w:rPr>
        <w:t xml:space="preserve"> </w:t>
      </w:r>
      <w:r w:rsidR="003330FB" w:rsidRPr="007352F9">
        <w:rPr>
          <w:rFonts w:ascii="Source Sans Pro" w:hAnsi="Source Sans Pro"/>
          <w:bCs/>
          <w:lang w:eastAsia="pt-PT"/>
        </w:rPr>
        <w:t>uma</w:t>
      </w:r>
      <w:r w:rsidR="003330FB" w:rsidRPr="008878E0">
        <w:rPr>
          <w:rFonts w:ascii="Source Sans Pro" w:hAnsi="Source Sans Pro"/>
          <w:bCs/>
          <w:lang w:eastAsia="pt-PT"/>
        </w:rPr>
        <w:t xml:space="preserve"> vez que depende quase </w:t>
      </w:r>
      <w:r w:rsidR="003330FB" w:rsidRPr="008878E0">
        <w:rPr>
          <w:rFonts w:ascii="Source Sans Pro" w:hAnsi="Source Sans Pro"/>
          <w:bCs/>
          <w:lang w:eastAsia="pt-PT"/>
        </w:rPr>
        <w:lastRenderedPageBreak/>
        <w:t>exclusivamente da atividade turística na Ilha do Sal, que</w:t>
      </w:r>
      <w:r w:rsidR="003330FB">
        <w:rPr>
          <w:rFonts w:ascii="Source Sans Pro" w:hAnsi="Source Sans Pro"/>
          <w:bCs/>
          <w:lang w:eastAsia="pt-PT"/>
        </w:rPr>
        <w:t>,</w:t>
      </w:r>
      <w:r w:rsidR="003330FB" w:rsidRPr="00C07891">
        <w:rPr>
          <w:rFonts w:ascii="Source Sans Pro" w:hAnsi="Source Sans Pro"/>
          <w:bCs/>
          <w:lang w:eastAsia="pt-PT"/>
        </w:rPr>
        <w:t xml:space="preserve"> </w:t>
      </w:r>
      <w:r w:rsidR="003330FB">
        <w:rPr>
          <w:rFonts w:ascii="Source Sans Pro" w:hAnsi="Source Sans Pro"/>
          <w:bCs/>
          <w:lang w:eastAsia="pt-PT"/>
        </w:rPr>
        <w:t>desde o iní</w:t>
      </w:r>
      <w:r w:rsidR="003330FB" w:rsidRPr="00765863">
        <w:rPr>
          <w:rFonts w:ascii="Source Sans Pro" w:hAnsi="Source Sans Pro"/>
          <w:bCs/>
          <w:lang w:eastAsia="pt-PT"/>
        </w:rPr>
        <w:t>cio da pandemia, é quase inexistente</w:t>
      </w:r>
      <w:r w:rsidR="003330FB">
        <w:rPr>
          <w:rFonts w:ascii="Source Sans Pro" w:hAnsi="Source Sans Pro"/>
          <w:bCs/>
          <w:lang w:eastAsia="pt-PT"/>
        </w:rPr>
        <w:t>, comparativamente aos níveis registados antes da pandemia</w:t>
      </w:r>
      <w:r w:rsidR="00674393" w:rsidRPr="009455E7">
        <w:rPr>
          <w:rFonts w:ascii="Source Sans Pro" w:hAnsi="Source Sans Pro"/>
          <w:bCs/>
          <w:lang w:eastAsia="pt-PT"/>
        </w:rPr>
        <w:t>.</w:t>
      </w:r>
    </w:p>
    <w:p w:rsidR="004540B6" w:rsidRPr="009455E7" w:rsidRDefault="004540B6" w:rsidP="002E3A88">
      <w:pPr>
        <w:pStyle w:val="PargrafodaLista"/>
        <w:tabs>
          <w:tab w:val="left" w:pos="9072"/>
        </w:tabs>
        <w:spacing w:line="360" w:lineRule="auto"/>
        <w:ind w:left="720" w:right="140"/>
        <w:jc w:val="both"/>
        <w:rPr>
          <w:rFonts w:ascii="Source Sans Pro" w:hAnsi="Source Sans Pro"/>
          <w:bCs/>
          <w:sz w:val="10"/>
          <w:szCs w:val="10"/>
          <w:lang w:eastAsia="pt-PT"/>
        </w:rPr>
      </w:pPr>
    </w:p>
    <w:p w:rsidR="004540B6" w:rsidRPr="009455E7" w:rsidRDefault="004540B6" w:rsidP="002E3A88">
      <w:pPr>
        <w:pStyle w:val="PargrafodaLista"/>
        <w:tabs>
          <w:tab w:val="left" w:pos="9072"/>
        </w:tabs>
        <w:spacing w:line="360" w:lineRule="auto"/>
        <w:ind w:left="720" w:right="140"/>
        <w:jc w:val="both"/>
        <w:rPr>
          <w:rFonts w:ascii="Source Sans Pro" w:hAnsi="Source Sans Pro"/>
          <w:bCs/>
          <w:sz w:val="10"/>
          <w:szCs w:val="10"/>
          <w:lang w:eastAsia="pt-PT"/>
        </w:rPr>
      </w:pPr>
    </w:p>
    <w:p w:rsidR="00514CAA" w:rsidRPr="009455E7" w:rsidRDefault="00B604D2" w:rsidP="00B604D2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bookmarkStart w:id="6" w:name="_Toc40815859"/>
      <w:bookmarkStart w:id="7" w:name="_Toc40816622"/>
      <w:bookmarkStart w:id="8" w:name="_Toc35340716"/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No que toca às transferências (</w:t>
      </w:r>
      <w:r w:rsidR="004540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com destaque aos 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donativos), </w:t>
      </w:r>
      <w:r w:rsidR="003951F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registou</w:t>
      </w:r>
      <w:r w:rsidR="004540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-se</w:t>
      </w:r>
      <w:r w:rsidR="003951F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uma execução de </w:t>
      </w:r>
      <w:r w:rsidR="0038123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865,0 </w:t>
      </w:r>
      <w:r w:rsidR="003951F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milhões de CVE, apresentando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um</w:t>
      </w:r>
      <w:r w:rsidR="006A11A5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6A11A5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diminuição de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38123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33,7</w:t>
      </w:r>
      <w:r w:rsidR="00F9269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% 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(</w:t>
      </w:r>
      <w:r w:rsidR="003749FA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-</w:t>
      </w:r>
      <w:r w:rsidR="0038123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440,0</w:t>
      </w:r>
      <w:r w:rsidR="00CA2A59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A03F7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milhões de CVE), em face 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 arrecadação no período homólogo do ano anterior</w:t>
      </w:r>
      <w:r w:rsidR="001F469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. Esta performance</w:t>
      </w:r>
      <w:r w:rsidR="00972D83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1F469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decorre</w:t>
      </w:r>
      <w:r w:rsidR="00514CAA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:</w:t>
      </w:r>
    </w:p>
    <w:p w:rsidR="00514CAA" w:rsidRPr="009455E7" w:rsidRDefault="004540B6" w:rsidP="00ED27BC">
      <w:pPr>
        <w:pStyle w:val="PargrafodaLista"/>
        <w:numPr>
          <w:ilvl w:val="0"/>
          <w:numId w:val="29"/>
        </w:num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/>
          <w:bCs/>
          <w:lang w:eastAsia="pt-PT"/>
        </w:rPr>
      </w:pPr>
      <w:r w:rsidRPr="009455E7">
        <w:rPr>
          <w:rFonts w:ascii="Source Sans Pro" w:hAnsi="Source Sans Pro"/>
          <w:bCs/>
          <w:lang w:eastAsia="pt-PT"/>
        </w:rPr>
        <w:t>d</w:t>
      </w:r>
      <w:r w:rsidR="00D66F80" w:rsidRPr="009455E7">
        <w:rPr>
          <w:rFonts w:ascii="Source Sans Pro" w:hAnsi="Source Sans Pro"/>
          <w:bCs/>
          <w:lang w:eastAsia="pt-PT"/>
        </w:rPr>
        <w:t>a diminuição das transferências provenientes de</w:t>
      </w:r>
      <w:r w:rsidR="00230F8E" w:rsidRPr="009455E7">
        <w:rPr>
          <w:rFonts w:ascii="Source Sans Pro" w:hAnsi="Source Sans Pro"/>
          <w:bCs/>
          <w:lang w:eastAsia="pt-PT"/>
        </w:rPr>
        <w:t xml:space="preserve"> Governos Estrangeiros</w:t>
      </w:r>
      <w:r w:rsidR="00B02A53" w:rsidRPr="009455E7">
        <w:rPr>
          <w:rFonts w:ascii="Source Sans Pro" w:hAnsi="Source Sans Pro"/>
          <w:bCs/>
          <w:lang w:eastAsia="pt-PT"/>
        </w:rPr>
        <w:t xml:space="preserve"> em </w:t>
      </w:r>
      <w:r w:rsidR="003749FA">
        <w:rPr>
          <w:rFonts w:ascii="Source Sans Pro" w:hAnsi="Source Sans Pro"/>
          <w:bCs/>
          <w:lang w:eastAsia="pt-PT"/>
        </w:rPr>
        <w:t>80,4</w:t>
      </w:r>
      <w:r w:rsidR="0083221C" w:rsidRPr="009455E7">
        <w:rPr>
          <w:rFonts w:ascii="Source Sans Pro" w:hAnsi="Source Sans Pro"/>
          <w:bCs/>
          <w:lang w:eastAsia="pt-PT"/>
        </w:rPr>
        <w:t>% (-</w:t>
      </w:r>
      <w:r w:rsidR="00ED27BC" w:rsidRPr="009455E7">
        <w:rPr>
          <w:rFonts w:ascii="Source Sans Pro" w:hAnsi="Source Sans Pro"/>
          <w:bCs/>
          <w:lang w:eastAsia="pt-PT"/>
        </w:rPr>
        <w:t xml:space="preserve">1.034,9 </w:t>
      </w:r>
      <w:r w:rsidR="00D66F80" w:rsidRPr="009455E7">
        <w:rPr>
          <w:rFonts w:ascii="Source Sans Pro" w:hAnsi="Source Sans Pro"/>
          <w:bCs/>
          <w:lang w:eastAsia="pt-PT"/>
        </w:rPr>
        <w:t xml:space="preserve">milhões de CVE), justificado pela não entrada ainda das ajudas orçamentais em face a </w:t>
      </w:r>
      <w:r w:rsidR="00E757DD" w:rsidRPr="009455E7">
        <w:rPr>
          <w:rFonts w:ascii="Source Sans Pro" w:hAnsi="Source Sans Pro"/>
          <w:bCs/>
          <w:lang w:eastAsia="pt-PT"/>
        </w:rPr>
        <w:t>julho</w:t>
      </w:r>
      <w:r w:rsidR="00D66F80" w:rsidRPr="009455E7">
        <w:rPr>
          <w:rFonts w:ascii="Source Sans Pro" w:hAnsi="Source Sans Pro"/>
          <w:bCs/>
          <w:lang w:eastAsia="pt-PT"/>
        </w:rPr>
        <w:t xml:space="preserve"> de 2020 e conjugado com </w:t>
      </w:r>
      <w:r w:rsidR="0083221C" w:rsidRPr="009455E7">
        <w:rPr>
          <w:rFonts w:ascii="Source Sans Pro" w:hAnsi="Source Sans Pro"/>
          <w:bCs/>
          <w:lang w:eastAsia="pt-PT"/>
        </w:rPr>
        <w:t>o decréscimo</w:t>
      </w:r>
      <w:r w:rsidR="00D66F80" w:rsidRPr="009455E7">
        <w:rPr>
          <w:rFonts w:ascii="Source Sans Pro" w:hAnsi="Source Sans Pro"/>
          <w:bCs/>
          <w:lang w:eastAsia="pt-PT"/>
        </w:rPr>
        <w:t xml:space="preserve"> dos donativos diretos </w:t>
      </w:r>
      <w:r w:rsidR="00E757DD" w:rsidRPr="009455E7">
        <w:rPr>
          <w:rFonts w:ascii="Source Sans Pro" w:hAnsi="Source Sans Pro"/>
          <w:bCs/>
          <w:lang w:eastAsia="pt-PT"/>
        </w:rPr>
        <w:t>face ao período homólogo</w:t>
      </w:r>
      <w:r w:rsidR="00D66F80" w:rsidRPr="009455E7">
        <w:rPr>
          <w:rFonts w:ascii="Source Sans Pro" w:hAnsi="Source Sans Pro"/>
          <w:bCs/>
          <w:lang w:eastAsia="pt-PT"/>
        </w:rPr>
        <w:t>;</w:t>
      </w:r>
    </w:p>
    <w:p w:rsidR="00686652" w:rsidRPr="0014329E" w:rsidRDefault="004540B6" w:rsidP="0097688F">
      <w:pPr>
        <w:pStyle w:val="PargrafodaLista"/>
        <w:numPr>
          <w:ilvl w:val="0"/>
          <w:numId w:val="29"/>
        </w:num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/>
          <w:bCs/>
          <w:lang w:eastAsia="pt-PT"/>
        </w:rPr>
      </w:pPr>
      <w:r w:rsidRPr="0014329E">
        <w:rPr>
          <w:rFonts w:ascii="Source Sans Pro" w:hAnsi="Source Sans Pro"/>
          <w:bCs/>
          <w:lang w:eastAsia="pt-PT"/>
        </w:rPr>
        <w:t>d</w:t>
      </w:r>
      <w:r w:rsidR="00D66F80" w:rsidRPr="0014329E">
        <w:rPr>
          <w:rFonts w:ascii="Source Sans Pro" w:hAnsi="Source Sans Pro"/>
          <w:bCs/>
          <w:lang w:eastAsia="pt-PT"/>
        </w:rPr>
        <w:t>o aumento</w:t>
      </w:r>
      <w:r w:rsidR="000014EB" w:rsidRPr="0014329E">
        <w:rPr>
          <w:rFonts w:ascii="Source Sans Pro" w:hAnsi="Source Sans Pro"/>
          <w:bCs/>
          <w:lang w:eastAsia="pt-PT"/>
        </w:rPr>
        <w:t xml:space="preserve"> das transferências provenientes de </w:t>
      </w:r>
      <w:r w:rsidR="00D66F80" w:rsidRPr="0014329E">
        <w:rPr>
          <w:rFonts w:ascii="Source Sans Pro" w:hAnsi="Source Sans Pro"/>
          <w:bCs/>
          <w:lang w:eastAsia="pt-PT"/>
        </w:rPr>
        <w:t>Organizações Internacionais</w:t>
      </w:r>
      <w:r w:rsidR="00B02A53" w:rsidRPr="0014329E">
        <w:rPr>
          <w:rFonts w:ascii="Source Sans Pro" w:hAnsi="Source Sans Pro"/>
          <w:bCs/>
          <w:lang w:eastAsia="pt-PT"/>
        </w:rPr>
        <w:t xml:space="preserve"> em </w:t>
      </w:r>
      <w:r w:rsidR="0097688F" w:rsidRPr="0014329E">
        <w:rPr>
          <w:rFonts w:ascii="Source Sans Pro" w:hAnsi="Source Sans Pro"/>
          <w:bCs/>
          <w:lang w:eastAsia="pt-PT"/>
        </w:rPr>
        <w:t xml:space="preserve">344,5 </w:t>
      </w:r>
      <w:r w:rsidR="004A3EE3" w:rsidRPr="0014329E">
        <w:rPr>
          <w:rFonts w:ascii="Source Sans Pro" w:hAnsi="Source Sans Pro"/>
          <w:bCs/>
          <w:lang w:eastAsia="pt-PT"/>
        </w:rPr>
        <w:t>milhões de CVE</w:t>
      </w:r>
      <w:r w:rsidR="0072633A" w:rsidRPr="0014329E">
        <w:rPr>
          <w:rFonts w:ascii="Source Sans Pro" w:hAnsi="Source Sans Pro"/>
          <w:bCs/>
          <w:lang w:eastAsia="pt-PT"/>
        </w:rPr>
        <w:t>, explicado pela entrada</w:t>
      </w:r>
      <w:r w:rsidR="000850FB" w:rsidRPr="0014329E">
        <w:rPr>
          <w:rFonts w:ascii="Source Sans Pro" w:hAnsi="Source Sans Pro"/>
          <w:bCs/>
          <w:lang w:eastAsia="pt-PT"/>
        </w:rPr>
        <w:t xml:space="preserve"> do donativo no âmbito do acordo entre </w:t>
      </w:r>
      <w:r w:rsidR="00B140FD" w:rsidRPr="0014329E">
        <w:rPr>
          <w:rFonts w:ascii="Source Sans Pro" w:hAnsi="Source Sans Pro"/>
          <w:bCs/>
          <w:lang w:eastAsia="pt-PT"/>
        </w:rPr>
        <w:t>U.E</w:t>
      </w:r>
      <w:r w:rsidR="000850FB" w:rsidRPr="0014329E">
        <w:rPr>
          <w:rFonts w:ascii="Source Sans Pro" w:hAnsi="Source Sans Pro"/>
          <w:bCs/>
          <w:lang w:eastAsia="pt-PT"/>
        </w:rPr>
        <w:t xml:space="preserve"> e PNUD para financiamento do projeto “</w:t>
      </w:r>
      <w:r w:rsidR="000850FB" w:rsidRPr="0014329E">
        <w:rPr>
          <w:rFonts w:ascii="Source Sans Pro" w:hAnsi="Source Sans Pro"/>
          <w:bCs/>
          <w:i/>
          <w:lang w:eastAsia="pt-PT"/>
        </w:rPr>
        <w:t xml:space="preserve">West Africa </w:t>
      </w:r>
      <w:proofErr w:type="spellStart"/>
      <w:r w:rsidR="000850FB" w:rsidRPr="0014329E">
        <w:rPr>
          <w:rFonts w:ascii="Source Sans Pro" w:hAnsi="Source Sans Pro"/>
          <w:bCs/>
          <w:i/>
          <w:lang w:eastAsia="pt-PT"/>
        </w:rPr>
        <w:t>Competitiveness</w:t>
      </w:r>
      <w:proofErr w:type="spellEnd"/>
      <w:r w:rsidR="000850FB" w:rsidRPr="0014329E">
        <w:rPr>
          <w:rFonts w:ascii="Source Sans Pro" w:hAnsi="Source Sans Pro"/>
          <w:bCs/>
          <w:i/>
          <w:lang w:eastAsia="pt-PT"/>
        </w:rPr>
        <w:t xml:space="preserve"> </w:t>
      </w:r>
      <w:proofErr w:type="spellStart"/>
      <w:r w:rsidR="000850FB" w:rsidRPr="0014329E">
        <w:rPr>
          <w:rFonts w:ascii="Source Sans Pro" w:hAnsi="Source Sans Pro"/>
          <w:bCs/>
          <w:i/>
          <w:lang w:eastAsia="pt-PT"/>
        </w:rPr>
        <w:t>Support</w:t>
      </w:r>
      <w:proofErr w:type="spellEnd"/>
      <w:r w:rsidR="000850FB" w:rsidRPr="0014329E">
        <w:rPr>
          <w:rFonts w:ascii="Source Sans Pro" w:hAnsi="Source Sans Pro"/>
          <w:bCs/>
          <w:i/>
          <w:lang w:eastAsia="pt-PT"/>
        </w:rPr>
        <w:t xml:space="preserve"> Project</w:t>
      </w:r>
      <w:r w:rsidR="000850FB" w:rsidRPr="0014329E">
        <w:rPr>
          <w:rFonts w:ascii="Source Sans Pro" w:hAnsi="Source Sans Pro"/>
          <w:bCs/>
          <w:lang w:eastAsia="pt-PT"/>
        </w:rPr>
        <w:t xml:space="preserve">”, no valor de </w:t>
      </w:r>
      <w:r w:rsidR="0014329E" w:rsidRPr="0014329E">
        <w:rPr>
          <w:rFonts w:ascii="Source Sans Pro" w:hAnsi="Source Sans Pro"/>
          <w:bCs/>
          <w:lang w:eastAsia="pt-PT"/>
        </w:rPr>
        <w:t>319</w:t>
      </w:r>
      <w:r w:rsidR="000850FB" w:rsidRPr="0014329E">
        <w:rPr>
          <w:rFonts w:ascii="Source Sans Pro" w:hAnsi="Source Sans Pro"/>
          <w:bCs/>
          <w:lang w:eastAsia="pt-PT"/>
        </w:rPr>
        <w:t>,6 milhões de CVE;</w:t>
      </w:r>
      <w:r w:rsidR="009707F1" w:rsidRPr="0014329E">
        <w:rPr>
          <w:rFonts w:ascii="Source Sans Pro" w:hAnsi="Source Sans Pro"/>
          <w:bCs/>
          <w:lang w:eastAsia="pt-PT"/>
        </w:rPr>
        <w:t xml:space="preserve"> </w:t>
      </w:r>
      <w:r w:rsidRPr="0014329E">
        <w:rPr>
          <w:rFonts w:ascii="Source Sans Pro" w:hAnsi="Source Sans Pro"/>
          <w:bCs/>
          <w:lang w:eastAsia="pt-PT"/>
        </w:rPr>
        <w:t>e</w:t>
      </w:r>
    </w:p>
    <w:p w:rsidR="00EB4B05" w:rsidRPr="009455E7" w:rsidRDefault="004540B6" w:rsidP="0097688F">
      <w:pPr>
        <w:pStyle w:val="PargrafodaLista"/>
        <w:numPr>
          <w:ilvl w:val="0"/>
          <w:numId w:val="29"/>
        </w:num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/>
          <w:bCs/>
          <w:lang w:eastAsia="pt-PT"/>
        </w:rPr>
      </w:pPr>
      <w:r w:rsidRPr="009455E7">
        <w:rPr>
          <w:rFonts w:ascii="Source Sans Pro" w:hAnsi="Source Sans Pro"/>
          <w:bCs/>
          <w:lang w:eastAsia="pt-PT"/>
        </w:rPr>
        <w:t>d</w:t>
      </w:r>
      <w:r w:rsidR="009707F1" w:rsidRPr="009455E7">
        <w:rPr>
          <w:rFonts w:ascii="Source Sans Pro" w:hAnsi="Source Sans Pro"/>
          <w:bCs/>
          <w:lang w:eastAsia="pt-PT"/>
        </w:rPr>
        <w:t>o registo</w:t>
      </w:r>
      <w:r w:rsidR="006C537C" w:rsidRPr="009455E7">
        <w:rPr>
          <w:rFonts w:ascii="Source Sans Pro" w:hAnsi="Source Sans Pro"/>
          <w:bCs/>
          <w:lang w:eastAsia="pt-PT"/>
        </w:rPr>
        <w:t xml:space="preserve"> </w:t>
      </w:r>
      <w:r w:rsidR="002F73CC">
        <w:rPr>
          <w:rFonts w:ascii="Source Sans Pro" w:hAnsi="Source Sans Pro"/>
          <w:bCs/>
          <w:lang w:eastAsia="pt-PT"/>
        </w:rPr>
        <w:t>de</w:t>
      </w:r>
      <w:r w:rsidR="009707F1" w:rsidRPr="009455E7">
        <w:rPr>
          <w:rFonts w:ascii="Source Sans Pro" w:hAnsi="Source Sans Pro"/>
          <w:bCs/>
          <w:lang w:eastAsia="pt-PT"/>
        </w:rPr>
        <w:t xml:space="preserve"> transferências </w:t>
      </w:r>
      <w:r w:rsidR="001F469E" w:rsidRPr="009455E7">
        <w:rPr>
          <w:rFonts w:ascii="Source Sans Pro" w:hAnsi="Source Sans Pro"/>
          <w:bCs/>
          <w:lang w:eastAsia="pt-PT"/>
        </w:rPr>
        <w:t>recebidos pelos Fundos e S</w:t>
      </w:r>
      <w:r w:rsidR="009707F1" w:rsidRPr="009455E7">
        <w:rPr>
          <w:rFonts w:ascii="Source Sans Pro" w:hAnsi="Source Sans Pro"/>
          <w:bCs/>
          <w:lang w:eastAsia="pt-PT"/>
        </w:rPr>
        <w:t xml:space="preserve">erviços </w:t>
      </w:r>
      <w:r w:rsidR="001F469E" w:rsidRPr="009455E7">
        <w:rPr>
          <w:rFonts w:ascii="Source Sans Pro" w:hAnsi="Source Sans Pro"/>
          <w:bCs/>
          <w:lang w:eastAsia="pt-PT"/>
        </w:rPr>
        <w:t>A</w:t>
      </w:r>
      <w:r w:rsidR="009707F1" w:rsidRPr="009455E7">
        <w:rPr>
          <w:rFonts w:ascii="Source Sans Pro" w:hAnsi="Source Sans Pro"/>
          <w:bCs/>
          <w:lang w:eastAsia="pt-PT"/>
        </w:rPr>
        <w:t>utónomos</w:t>
      </w:r>
      <w:r w:rsidR="0097688F" w:rsidRPr="009455E7">
        <w:t xml:space="preserve"> (+</w:t>
      </w:r>
      <w:r w:rsidR="0097688F" w:rsidRPr="009455E7">
        <w:rPr>
          <w:rFonts w:ascii="Source Sans Pro" w:hAnsi="Source Sans Pro"/>
          <w:bCs/>
          <w:lang w:eastAsia="pt-PT"/>
        </w:rPr>
        <w:t>250,4</w:t>
      </w:r>
      <w:r w:rsidR="0097688F" w:rsidRPr="009455E7">
        <w:t xml:space="preserve"> </w:t>
      </w:r>
      <w:r w:rsidR="0097688F" w:rsidRPr="009455E7">
        <w:rPr>
          <w:rFonts w:ascii="Source Sans Pro" w:hAnsi="Source Sans Pro"/>
          <w:bCs/>
          <w:lang w:eastAsia="pt-PT"/>
        </w:rPr>
        <w:t>milhões de CVE)</w:t>
      </w:r>
      <w:r w:rsidR="009707F1" w:rsidRPr="009455E7">
        <w:rPr>
          <w:rFonts w:ascii="Source Sans Pro" w:hAnsi="Source Sans Pro"/>
          <w:bCs/>
          <w:lang w:eastAsia="pt-PT"/>
        </w:rPr>
        <w:t xml:space="preserve">, </w:t>
      </w:r>
      <w:r w:rsidR="001F469E" w:rsidRPr="009455E7">
        <w:rPr>
          <w:rFonts w:ascii="Source Sans Pro" w:hAnsi="Source Sans Pro"/>
          <w:bCs/>
          <w:lang w:eastAsia="pt-PT"/>
        </w:rPr>
        <w:t>com destaque para as estruturas de Saúde, em face a comparticipação do INPS na assistência médica e medicamentosa</w:t>
      </w:r>
      <w:bookmarkEnd w:id="6"/>
      <w:bookmarkEnd w:id="7"/>
      <w:r w:rsidR="00C00557" w:rsidRPr="009455E7">
        <w:rPr>
          <w:rFonts w:ascii="Source Sans Pro" w:hAnsi="Source Sans Pro"/>
          <w:bCs/>
          <w:lang w:eastAsia="pt-PT"/>
        </w:rPr>
        <w:t xml:space="preserve"> dos respetivos segurados.</w:t>
      </w:r>
    </w:p>
    <w:p w:rsidR="001F469E" w:rsidRPr="009455E7" w:rsidRDefault="001F469E" w:rsidP="00EB4B05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  <w:bookmarkStart w:id="9" w:name="_Toc40815860"/>
      <w:bookmarkStart w:id="10" w:name="_Toc40816623"/>
    </w:p>
    <w:p w:rsidR="00DF3DC8" w:rsidRPr="009C0926" w:rsidRDefault="00EB4B05" w:rsidP="009C0926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As outras receitas verificaram um decréscimo de </w:t>
      </w:r>
      <w:r w:rsid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0,6</w:t>
      </w:r>
      <w:r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%</w:t>
      </w:r>
      <w:r w:rsidR="000B4732"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(-14,7 milhões de CVE)</w:t>
      </w:r>
      <w:r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 refletindo o impacto da</w:t>
      </w:r>
      <w:bookmarkStart w:id="11" w:name="_Toc40815862"/>
      <w:bookmarkStart w:id="12" w:name="_Toc40816625"/>
      <w:bookmarkStart w:id="13" w:name="_Toc41581955"/>
      <w:bookmarkEnd w:id="9"/>
      <w:bookmarkEnd w:id="10"/>
      <w:r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pandemia da </w:t>
      </w:r>
      <w:r w:rsidR="00A03F74"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C</w:t>
      </w:r>
      <w:r w:rsidR="00147545"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ovid</w:t>
      </w:r>
      <w:r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-19,</w:t>
      </w:r>
      <w:bookmarkEnd w:id="8"/>
      <w:bookmarkEnd w:id="11"/>
      <w:bookmarkEnd w:id="12"/>
      <w:bookmarkEnd w:id="13"/>
      <w:r w:rsidR="00AF32D4"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CF71E5"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com destaque à diminuição na arrecadação</w:t>
      </w:r>
      <w:r w:rsidR="0038763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 das multas e outras penalidade</w:t>
      </w:r>
      <w:r w:rsidR="00E4696A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s</w:t>
      </w:r>
      <w:r w:rsidR="0038763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CF71E5"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e d</w:t>
      </w:r>
      <w:r w:rsidR="0038763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as outras receitas diversas.</w:t>
      </w:r>
      <w:r w:rsidR="00CF71E5" w:rsidRPr="009C0926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</w:p>
    <w:p w:rsidR="00CF71E5" w:rsidRPr="009455E7" w:rsidRDefault="00CF71E5" w:rsidP="00EB4B05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381233" w:rsidRPr="009455E7" w:rsidRDefault="00381233" w:rsidP="00EB4B05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381233" w:rsidRDefault="00381233" w:rsidP="00EB4B05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381233" w:rsidRPr="009455E7" w:rsidRDefault="00381233" w:rsidP="00EB4B05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DF3DC8" w:rsidRPr="009455E7" w:rsidRDefault="00DF3DC8" w:rsidP="00DF3DC8">
      <w:pPr>
        <w:pStyle w:val="PargrafodaLista"/>
        <w:numPr>
          <w:ilvl w:val="1"/>
          <w:numId w:val="3"/>
        </w:numPr>
        <w:tabs>
          <w:tab w:val="left" w:pos="0"/>
          <w:tab w:val="left" w:pos="284"/>
        </w:tabs>
        <w:suppressAutoHyphens w:val="0"/>
        <w:autoSpaceDN/>
        <w:ind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bookmarkStart w:id="14" w:name="_Toc72504426"/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Venda de Ativos Não Financeiros</w:t>
      </w:r>
      <w:bookmarkEnd w:id="14"/>
    </w:p>
    <w:p w:rsidR="00DF3DC8" w:rsidRPr="009455E7" w:rsidRDefault="00DF3DC8" w:rsidP="00EB4B05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</w:p>
    <w:p w:rsidR="00EF5F5D" w:rsidRPr="009455E7" w:rsidRDefault="00DF3DC8" w:rsidP="002749B4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As </w:t>
      </w:r>
      <w:r w:rsidR="0016699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receitas provenientes de V</w:t>
      </w:r>
      <w:r w:rsidR="001F469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endas de Ativos Não Financeiros</w:t>
      </w:r>
      <w:r w:rsidR="0016699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85258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ascenderam</w:t>
      </w:r>
      <w:r w:rsidR="001F469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a</w:t>
      </w:r>
      <w:r w:rsidR="0016699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2161E1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53</w:t>
      </w:r>
      <w:r w:rsidR="00531FB3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3,9</w:t>
      </w:r>
      <w:r w:rsidR="00500AC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16699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milhões de CVE, </w:t>
      </w:r>
      <w:r w:rsidR="0085258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registando um aumento</w:t>
      </w:r>
      <w:r w:rsidR="00BA486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</w:t>
      </w:r>
      <w:r w:rsidR="0085258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em</w:t>
      </w:r>
      <w:r w:rsidR="00BA486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face ao </w:t>
      </w:r>
      <w:r w:rsidR="00C0055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realizado</w:t>
      </w:r>
      <w:r w:rsidR="00BA486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no mesmo período de 2020 (</w:t>
      </w:r>
      <w:r w:rsidR="002161E1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48</w:t>
      </w:r>
      <w:r w:rsidR="00531FB3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</w:t>
      </w:r>
      <w:r w:rsidR="002161E1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5</w:t>
      </w:r>
      <w:r w:rsidR="00FC6429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BA486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milhões de CVE). Esse aumento é </w:t>
      </w:r>
      <w:r w:rsidR="0016699E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justificado, essenci</w:t>
      </w:r>
      <w:r w:rsidR="002E3A8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almente, pela </w:t>
      </w:r>
      <w:r w:rsidR="00003055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venda </w:t>
      </w:r>
      <w:r w:rsidR="002161E1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de edifícios (480,9</w:t>
      </w:r>
      <w:r w:rsidR="005A7679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milhões de CVE) e</w:t>
      </w:r>
      <w:r w:rsidR="00003055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5A7679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da</w:t>
      </w:r>
      <w:r w:rsidR="00C0055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3277D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aeronave das Forças Armadas (52,9 milhões de CVE)</w:t>
      </w:r>
      <w:r w:rsidR="00003055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. </w:t>
      </w:r>
    </w:p>
    <w:p w:rsidR="00C00557" w:rsidRPr="009455E7" w:rsidRDefault="00C00557" w:rsidP="002749B4">
      <w:pPr>
        <w:tabs>
          <w:tab w:val="left" w:pos="9072"/>
        </w:tabs>
        <w:spacing w:after="0" w:line="360" w:lineRule="auto"/>
        <w:ind w:right="140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</w:p>
    <w:p w:rsidR="00747A95" w:rsidRPr="009455E7" w:rsidRDefault="00747A95" w:rsidP="00DF3DC8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uppressAutoHyphens w:val="0"/>
        <w:autoSpaceDN/>
        <w:ind w:left="0" w:right="140" w:firstLine="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bookmarkStart w:id="15" w:name="_Toc72504427"/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Análise das Despesas Totais e Ativos Não Financeiros</w:t>
      </w:r>
      <w:bookmarkEnd w:id="15"/>
    </w:p>
    <w:p w:rsidR="00BC59C6" w:rsidRPr="009455E7" w:rsidRDefault="00BC59C6" w:rsidP="00BC59C6">
      <w:pPr>
        <w:pStyle w:val="PargrafodaLista"/>
        <w:tabs>
          <w:tab w:val="left" w:pos="0"/>
          <w:tab w:val="left" w:pos="284"/>
        </w:tabs>
        <w:suppressAutoHyphens w:val="0"/>
        <w:autoSpaceDN/>
        <w:ind w:left="0"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sz w:val="10"/>
          <w:szCs w:val="10"/>
          <w:lang w:eastAsia="pt-PT"/>
        </w:rPr>
      </w:pPr>
    </w:p>
    <w:p w:rsidR="006019D4" w:rsidRPr="009455E7" w:rsidRDefault="006019D4" w:rsidP="006019D4">
      <w:pPr>
        <w:pStyle w:val="PargrafodaLista"/>
        <w:tabs>
          <w:tab w:val="left" w:pos="0"/>
          <w:tab w:val="left" w:pos="284"/>
        </w:tabs>
        <w:suppressAutoHyphens w:val="0"/>
        <w:autoSpaceDN/>
        <w:ind w:left="0"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</w:p>
    <w:p w:rsidR="00747A95" w:rsidRPr="009455E7" w:rsidRDefault="00747A95" w:rsidP="00DF3DC8">
      <w:pPr>
        <w:pStyle w:val="PargrafodaLista"/>
        <w:numPr>
          <w:ilvl w:val="1"/>
          <w:numId w:val="3"/>
        </w:numPr>
        <w:tabs>
          <w:tab w:val="left" w:pos="0"/>
          <w:tab w:val="left" w:pos="284"/>
        </w:tabs>
        <w:suppressAutoHyphens w:val="0"/>
        <w:autoSpaceDN/>
        <w:ind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 xml:space="preserve"> </w:t>
      </w:r>
      <w:bookmarkStart w:id="16" w:name="_Toc72504428"/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Por Classificação Económica</w:t>
      </w:r>
      <w:bookmarkEnd w:id="16"/>
    </w:p>
    <w:p w:rsidR="00EB4B05" w:rsidRPr="009455E7" w:rsidRDefault="00EB4B05" w:rsidP="00EB4B05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10"/>
          <w:szCs w:val="10"/>
        </w:rPr>
      </w:pPr>
    </w:p>
    <w:p w:rsidR="00EB4B05" w:rsidRPr="009455E7" w:rsidRDefault="00EB4B05" w:rsidP="00EB4B05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24"/>
          <w:szCs w:val="24"/>
        </w:rPr>
      </w:pP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As despesas totais e a aquisição de ativos não financeiros, em </w:t>
      </w:r>
      <w:r w:rsidR="00F13E1A" w:rsidRPr="009455E7">
        <w:rPr>
          <w:rFonts w:ascii="Source Sans Pro" w:eastAsia="Times New Roman" w:hAnsi="Source Sans Pro" w:cs="Arial"/>
          <w:bCs/>
          <w:sz w:val="24"/>
          <w:szCs w:val="24"/>
        </w:rPr>
        <w:t>julho</w:t>
      </w:r>
      <w:r w:rsidR="00DE38DC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de 2021, atingiram </w:t>
      </w:r>
      <w:r w:rsidR="008F0E80">
        <w:rPr>
          <w:rFonts w:ascii="Source Sans Pro" w:eastAsia="Times New Roman" w:hAnsi="Source Sans Pro" w:cs="Arial"/>
          <w:bCs/>
          <w:sz w:val="24"/>
          <w:szCs w:val="24"/>
        </w:rPr>
        <w:t>31</w:t>
      </w:r>
      <w:r w:rsidR="00F13E1A" w:rsidRPr="009455E7">
        <w:rPr>
          <w:rFonts w:ascii="Source Sans Pro" w:eastAsia="Times New Roman" w:hAnsi="Source Sans Pro" w:cs="Arial"/>
          <w:bCs/>
          <w:sz w:val="24"/>
          <w:szCs w:val="24"/>
        </w:rPr>
        <w:t>.</w:t>
      </w:r>
      <w:r w:rsidR="008F0E80">
        <w:rPr>
          <w:rFonts w:ascii="Source Sans Pro" w:eastAsia="Times New Roman" w:hAnsi="Source Sans Pro" w:cs="Arial"/>
          <w:bCs/>
          <w:sz w:val="24"/>
          <w:szCs w:val="24"/>
        </w:rPr>
        <w:t>271,9</w:t>
      </w:r>
      <w:r w:rsidR="00F13E1A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="006A11A5" w:rsidRPr="009455E7">
        <w:rPr>
          <w:rFonts w:ascii="Source Sans Pro" w:eastAsia="Times New Roman" w:hAnsi="Source Sans Pro" w:cs="Arial"/>
          <w:bCs/>
          <w:sz w:val="24"/>
          <w:szCs w:val="24"/>
        </w:rPr>
        <w:t>milhões de CVE, registando um a</w:t>
      </w:r>
      <w:r w:rsidR="003A2862" w:rsidRPr="009455E7">
        <w:rPr>
          <w:rFonts w:ascii="Source Sans Pro" w:eastAsia="Times New Roman" w:hAnsi="Source Sans Pro" w:cs="Arial"/>
          <w:bCs/>
          <w:sz w:val="24"/>
          <w:szCs w:val="24"/>
        </w:rPr>
        <w:t>gravamento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de </w:t>
      </w:r>
      <w:r w:rsidR="008F0E80">
        <w:rPr>
          <w:rFonts w:ascii="Source Sans Pro" w:eastAsia="Times New Roman" w:hAnsi="Source Sans Pro" w:cs="Arial"/>
          <w:bCs/>
          <w:sz w:val="24"/>
          <w:szCs w:val="24"/>
        </w:rPr>
        <w:t>4</w:t>
      </w:r>
      <w:r w:rsidR="00B63AFE" w:rsidRPr="009455E7">
        <w:rPr>
          <w:rFonts w:ascii="Source Sans Pro" w:eastAsia="Times New Roman" w:hAnsi="Source Sans Pro" w:cs="Arial"/>
          <w:bCs/>
          <w:sz w:val="24"/>
          <w:szCs w:val="24"/>
        </w:rPr>
        <w:t>,</w:t>
      </w:r>
      <w:r w:rsidR="008F0E80">
        <w:rPr>
          <w:rFonts w:ascii="Source Sans Pro" w:eastAsia="Times New Roman" w:hAnsi="Source Sans Pro" w:cs="Arial"/>
          <w:bCs/>
          <w:sz w:val="24"/>
          <w:szCs w:val="24"/>
        </w:rPr>
        <w:t>8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>% em relação ao período homólogo de 2020.</w:t>
      </w:r>
    </w:p>
    <w:p w:rsidR="00DF3DC8" w:rsidRPr="009455E7" w:rsidRDefault="00DF3DC8" w:rsidP="00EB4B05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10"/>
          <w:szCs w:val="10"/>
        </w:rPr>
      </w:pPr>
    </w:p>
    <w:p w:rsidR="00DF3DC8" w:rsidRPr="009455E7" w:rsidRDefault="00DF3DC8" w:rsidP="00DF3DC8">
      <w:pPr>
        <w:pStyle w:val="PargrafodaLista"/>
        <w:tabs>
          <w:tab w:val="left" w:pos="9072"/>
        </w:tabs>
        <w:spacing w:line="360" w:lineRule="auto"/>
        <w:ind w:left="153" w:right="140"/>
        <w:jc w:val="center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Quadro 3 - Evolução das Despesas Totais por Classificação Económica</w:t>
      </w:r>
    </w:p>
    <w:p w:rsidR="00243613" w:rsidRPr="009455E7" w:rsidRDefault="00D764D2" w:rsidP="00DF3DC8">
      <w:pPr>
        <w:pStyle w:val="PargrafodaLista"/>
        <w:tabs>
          <w:tab w:val="left" w:pos="9072"/>
        </w:tabs>
        <w:spacing w:line="360" w:lineRule="auto"/>
        <w:ind w:left="153" w:right="140"/>
        <w:jc w:val="center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D764D2">
        <w:rPr>
          <w:noProof/>
          <w:lang w:eastAsia="pt-PT"/>
        </w:rPr>
        <w:drawing>
          <wp:inline distT="0" distB="0" distL="0" distR="0">
            <wp:extent cx="5398770" cy="462987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630" cy="463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DC8" w:rsidRPr="009455E7" w:rsidRDefault="00E91DAA" w:rsidP="006E31FB">
      <w:pPr>
        <w:tabs>
          <w:tab w:val="left" w:pos="9072"/>
        </w:tabs>
        <w:ind w:left="-207" w:right="140"/>
        <w:jc w:val="both"/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5E7">
        <w:rPr>
          <w:rFonts w:ascii="Source Sans Pro" w:hAnsi="Source Sans Pro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DF3DC8" w:rsidRPr="009455E7">
        <w:rPr>
          <w:rFonts w:ascii="Source Sans Pro" w:hAnsi="Source Sans Pro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0F07" w:rsidRPr="009455E7">
        <w:rPr>
          <w:rFonts w:ascii="Source Sans Pro" w:hAnsi="Source Sans Pro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3DC8" w:rsidRPr="009455E7">
        <w:rPr>
          <w:rFonts w:ascii="Source Sans Pro" w:hAnsi="Source Sans Pro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0F07" w:rsidRPr="009455E7">
        <w:rPr>
          <w:rFonts w:ascii="Source Sans Pro" w:hAnsi="Source Sans Pro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F3DC8" w:rsidRPr="009455E7"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Fonte: MF</w:t>
      </w:r>
      <w:r w:rsidR="00F833A9" w:rsidRPr="009455E7"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</w:t>
      </w:r>
    </w:p>
    <w:p w:rsidR="002E48F1" w:rsidRDefault="002E48F1" w:rsidP="006E31FB">
      <w:pPr>
        <w:tabs>
          <w:tab w:val="left" w:pos="9072"/>
        </w:tabs>
        <w:ind w:left="-207" w:right="140"/>
        <w:jc w:val="both"/>
        <w:rPr>
          <w:rFonts w:ascii="Source Sans Pro" w:hAnsi="Source Sans Pro"/>
          <w:b/>
          <w:bCs/>
          <w:color w:val="2F5496" w:themeColor="accent5" w:themeShade="BF"/>
          <w:sz w:val="10"/>
          <w:szCs w:val="10"/>
          <w:lang w:eastAsia="pt-PT"/>
        </w:rPr>
      </w:pPr>
    </w:p>
    <w:p w:rsidR="003F5F88" w:rsidRPr="009455E7" w:rsidRDefault="003F5F88" w:rsidP="006E31FB">
      <w:pPr>
        <w:tabs>
          <w:tab w:val="left" w:pos="9072"/>
        </w:tabs>
        <w:ind w:left="-207" w:right="140"/>
        <w:jc w:val="both"/>
        <w:rPr>
          <w:rFonts w:ascii="Source Sans Pro" w:hAnsi="Source Sans Pro"/>
          <w:b/>
          <w:bCs/>
          <w:color w:val="2F5496" w:themeColor="accent5" w:themeShade="BF"/>
          <w:sz w:val="10"/>
          <w:szCs w:val="10"/>
          <w:lang w:eastAsia="pt-PT"/>
        </w:rPr>
      </w:pPr>
    </w:p>
    <w:p w:rsidR="00EB4B05" w:rsidRPr="009455E7" w:rsidRDefault="00EB4B05" w:rsidP="00DF3DC8">
      <w:pPr>
        <w:pStyle w:val="PargrafodaLista"/>
        <w:numPr>
          <w:ilvl w:val="2"/>
          <w:numId w:val="3"/>
        </w:numPr>
        <w:tabs>
          <w:tab w:val="left" w:pos="0"/>
          <w:tab w:val="left" w:pos="284"/>
        </w:tabs>
        <w:suppressAutoHyphens w:val="0"/>
        <w:autoSpaceDN/>
        <w:ind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bookmarkStart w:id="17" w:name="_Toc72504429"/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Despesas</w:t>
      </w:r>
      <w:bookmarkEnd w:id="17"/>
      <w:r w:rsidR="006A53CA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 xml:space="preserve"> </w:t>
      </w:r>
    </w:p>
    <w:p w:rsidR="006019D4" w:rsidRPr="009455E7" w:rsidRDefault="006019D4" w:rsidP="006019D4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10"/>
          <w:szCs w:val="10"/>
        </w:rPr>
      </w:pPr>
    </w:p>
    <w:p w:rsidR="006019D4" w:rsidRPr="009455E7" w:rsidRDefault="00EB4B05" w:rsidP="006019D4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24"/>
          <w:szCs w:val="24"/>
        </w:rPr>
      </w:pP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Em </w:t>
      </w:r>
      <w:r w:rsidR="00A03F74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finais de </w:t>
      </w:r>
      <w:r w:rsidR="00620E0B" w:rsidRPr="009455E7">
        <w:rPr>
          <w:rFonts w:ascii="Source Sans Pro" w:eastAsia="Times New Roman" w:hAnsi="Source Sans Pro" w:cs="Arial"/>
          <w:bCs/>
          <w:sz w:val="24"/>
          <w:szCs w:val="24"/>
        </w:rPr>
        <w:t>julho</w:t>
      </w:r>
      <w:r w:rsidR="00FF0E23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="004E5395" w:rsidRPr="009455E7">
        <w:rPr>
          <w:rFonts w:ascii="Source Sans Pro" w:eastAsia="Times New Roman" w:hAnsi="Source Sans Pro" w:cs="Arial"/>
          <w:bCs/>
          <w:sz w:val="24"/>
          <w:szCs w:val="24"/>
        </w:rPr>
        <w:t>de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2021, as despesas executadas totalizaram o montante de </w:t>
      </w:r>
      <w:r w:rsidR="00620E0B" w:rsidRPr="009455E7">
        <w:rPr>
          <w:rFonts w:ascii="Source Sans Pro" w:eastAsia="Times New Roman" w:hAnsi="Source Sans Pro" w:cs="Arial"/>
          <w:bCs/>
          <w:sz w:val="24"/>
          <w:szCs w:val="24"/>
        </w:rPr>
        <w:t>30.</w:t>
      </w:r>
      <w:r w:rsidR="003561A6">
        <w:rPr>
          <w:rFonts w:ascii="Source Sans Pro" w:eastAsia="Times New Roman" w:hAnsi="Source Sans Pro" w:cs="Arial"/>
          <w:bCs/>
          <w:sz w:val="24"/>
          <w:szCs w:val="24"/>
        </w:rPr>
        <w:t>070,7</w:t>
      </w:r>
      <w:r w:rsidR="00620E0B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>milhões de CVE, registando u</w:t>
      </w:r>
      <w:r w:rsidR="00147545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m </w:t>
      </w:r>
      <w:r w:rsidR="004E497E" w:rsidRPr="009455E7">
        <w:rPr>
          <w:rFonts w:ascii="Source Sans Pro" w:eastAsia="Times New Roman" w:hAnsi="Source Sans Pro" w:cs="Arial"/>
          <w:bCs/>
          <w:sz w:val="24"/>
          <w:szCs w:val="24"/>
        </w:rPr>
        <w:t>aumento de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="003561A6">
        <w:rPr>
          <w:rFonts w:ascii="Source Sans Pro" w:eastAsia="Times New Roman" w:hAnsi="Source Sans Pro" w:cs="Arial"/>
          <w:bCs/>
          <w:sz w:val="24"/>
          <w:szCs w:val="24"/>
        </w:rPr>
        <w:t>4</w:t>
      </w:r>
      <w:r w:rsidR="00620E0B" w:rsidRPr="009455E7">
        <w:rPr>
          <w:rFonts w:ascii="Source Sans Pro" w:eastAsia="Times New Roman" w:hAnsi="Source Sans Pro" w:cs="Arial"/>
          <w:bCs/>
          <w:sz w:val="24"/>
          <w:szCs w:val="24"/>
        </w:rPr>
        <w:t>,</w:t>
      </w:r>
      <w:r w:rsidR="003561A6">
        <w:rPr>
          <w:rFonts w:ascii="Source Sans Pro" w:eastAsia="Times New Roman" w:hAnsi="Source Sans Pro" w:cs="Arial"/>
          <w:bCs/>
          <w:sz w:val="24"/>
          <w:szCs w:val="24"/>
        </w:rPr>
        <w:t>5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% em relação ao período 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lastRenderedPageBreak/>
        <w:t>homólogo de 2020.</w:t>
      </w:r>
      <w:r w:rsidR="00860DEC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="00EC6218" w:rsidRPr="009455E7">
        <w:rPr>
          <w:rFonts w:ascii="Source Sans Pro" w:eastAsia="Times New Roman" w:hAnsi="Source Sans Pro" w:cs="Arial"/>
          <w:bCs/>
          <w:sz w:val="24"/>
          <w:szCs w:val="24"/>
        </w:rPr>
        <w:t>Esta evolução resultou d</w:t>
      </w:r>
      <w:r w:rsidR="004E497E" w:rsidRPr="009455E7">
        <w:rPr>
          <w:rFonts w:ascii="Source Sans Pro" w:eastAsia="Times New Roman" w:hAnsi="Source Sans Pro" w:cs="Arial"/>
          <w:bCs/>
          <w:sz w:val="24"/>
          <w:szCs w:val="24"/>
        </w:rPr>
        <w:t>o aumento nas</w:t>
      </w:r>
      <w:r w:rsidR="00093764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rúbricas despesas com o pessoal</w:t>
      </w:r>
      <w:r w:rsidR="00FF0E23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(+</w:t>
      </w:r>
      <w:r w:rsidR="004A557F" w:rsidRPr="009455E7">
        <w:rPr>
          <w:rFonts w:ascii="Source Sans Pro" w:eastAsia="Times New Roman" w:hAnsi="Source Sans Pro" w:cs="Arial"/>
          <w:bCs/>
          <w:sz w:val="24"/>
          <w:szCs w:val="24"/>
        </w:rPr>
        <w:t>3,4</w:t>
      </w:r>
      <w:r w:rsidR="001C2C88" w:rsidRPr="009455E7">
        <w:rPr>
          <w:rFonts w:ascii="Source Sans Pro" w:eastAsia="Times New Roman" w:hAnsi="Source Sans Pro" w:cs="Arial"/>
          <w:bCs/>
          <w:sz w:val="24"/>
          <w:szCs w:val="24"/>
        </w:rPr>
        <w:t>%)</w:t>
      </w:r>
      <w:r w:rsidR="00093764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, </w:t>
      </w:r>
      <w:r w:rsidR="00FF0E23" w:rsidRPr="009455E7">
        <w:rPr>
          <w:rFonts w:ascii="Source Sans Pro" w:eastAsia="Times New Roman" w:hAnsi="Source Sans Pro" w:cs="Arial"/>
          <w:bCs/>
          <w:sz w:val="24"/>
          <w:szCs w:val="24"/>
        </w:rPr>
        <w:t>aquisição de bens e serviços (+</w:t>
      </w:r>
      <w:r w:rsidR="004A557F" w:rsidRPr="009455E7">
        <w:rPr>
          <w:rFonts w:ascii="Source Sans Pro" w:eastAsia="Times New Roman" w:hAnsi="Source Sans Pro" w:cs="Arial"/>
          <w:bCs/>
          <w:sz w:val="24"/>
          <w:szCs w:val="24"/>
        </w:rPr>
        <w:t>7,0</w:t>
      </w:r>
      <w:r w:rsidR="00FF0E23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%), </w:t>
      </w:r>
      <w:r w:rsidR="001376AC" w:rsidRPr="009455E7">
        <w:rPr>
          <w:rFonts w:ascii="Source Sans Pro" w:eastAsia="Times New Roman" w:hAnsi="Source Sans Pro" w:cs="Arial"/>
          <w:bCs/>
          <w:sz w:val="24"/>
          <w:szCs w:val="24"/>
        </w:rPr>
        <w:t>subsídios (+</w:t>
      </w:r>
      <w:r w:rsidR="004A557F" w:rsidRPr="009455E7">
        <w:rPr>
          <w:rFonts w:ascii="Source Sans Pro" w:eastAsia="Times New Roman" w:hAnsi="Source Sans Pro" w:cs="Arial"/>
          <w:bCs/>
          <w:sz w:val="24"/>
          <w:szCs w:val="24"/>
        </w:rPr>
        <w:t>103,1</w:t>
      </w:r>
      <w:r w:rsidR="001376AC" w:rsidRPr="009455E7">
        <w:rPr>
          <w:rFonts w:ascii="Source Sans Pro" w:eastAsia="Times New Roman" w:hAnsi="Source Sans Pro" w:cs="Arial"/>
          <w:bCs/>
          <w:sz w:val="24"/>
          <w:szCs w:val="24"/>
        </w:rPr>
        <w:t>%),</w:t>
      </w:r>
      <w:r w:rsidR="00093764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="001319CF" w:rsidRPr="009455E7">
        <w:rPr>
          <w:rFonts w:ascii="Source Sans Pro" w:eastAsia="Times New Roman" w:hAnsi="Source Sans Pro" w:cs="Arial"/>
          <w:bCs/>
          <w:sz w:val="24"/>
          <w:szCs w:val="24"/>
        </w:rPr>
        <w:t>benefícios sociais (+</w:t>
      </w:r>
      <w:r w:rsidR="004A557F" w:rsidRPr="009455E7">
        <w:rPr>
          <w:rFonts w:ascii="Source Sans Pro" w:eastAsia="Times New Roman" w:hAnsi="Source Sans Pro" w:cs="Arial"/>
          <w:bCs/>
          <w:sz w:val="24"/>
          <w:szCs w:val="24"/>
        </w:rPr>
        <w:t>22,6</w:t>
      </w:r>
      <w:r w:rsidR="00235BE1" w:rsidRPr="009455E7">
        <w:rPr>
          <w:rFonts w:ascii="Source Sans Pro" w:eastAsia="Times New Roman" w:hAnsi="Source Sans Pro" w:cs="Arial"/>
          <w:bCs/>
          <w:sz w:val="24"/>
          <w:szCs w:val="24"/>
        </w:rPr>
        <w:t>%), conjugado</w:t>
      </w:r>
      <w:r w:rsidR="004E497E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com a diminuição </w:t>
      </w:r>
      <w:r w:rsidR="00235BE1" w:rsidRPr="009455E7">
        <w:rPr>
          <w:rFonts w:ascii="Source Sans Pro" w:eastAsia="Times New Roman" w:hAnsi="Source Sans Pro" w:cs="Arial"/>
          <w:bCs/>
          <w:sz w:val="24"/>
          <w:szCs w:val="24"/>
        </w:rPr>
        <w:t>nas</w:t>
      </w:r>
      <w:r w:rsidR="001E7B1E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rubricas dos juros da dívida (-</w:t>
      </w:r>
      <w:r w:rsidR="004A557F" w:rsidRPr="009455E7">
        <w:rPr>
          <w:rFonts w:ascii="Source Sans Pro" w:eastAsia="Times New Roman" w:hAnsi="Source Sans Pro" w:cs="Arial"/>
          <w:bCs/>
          <w:sz w:val="24"/>
          <w:szCs w:val="24"/>
        </w:rPr>
        <w:t>21,5</w:t>
      </w:r>
      <w:r w:rsidR="00F65F13" w:rsidRPr="009455E7">
        <w:rPr>
          <w:rFonts w:ascii="Source Sans Pro" w:eastAsia="Times New Roman" w:hAnsi="Source Sans Pro" w:cs="Arial"/>
          <w:bCs/>
          <w:sz w:val="24"/>
          <w:szCs w:val="24"/>
        </w:rPr>
        <w:t>%), das</w:t>
      </w:r>
      <w:r w:rsidR="00147545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t</w:t>
      </w:r>
      <w:r w:rsidR="00093764" w:rsidRPr="009455E7">
        <w:rPr>
          <w:rFonts w:ascii="Source Sans Pro" w:eastAsia="Times New Roman" w:hAnsi="Source Sans Pro" w:cs="Arial"/>
          <w:bCs/>
          <w:sz w:val="24"/>
          <w:szCs w:val="24"/>
        </w:rPr>
        <w:t>ransferências correntes</w:t>
      </w:r>
      <w:r w:rsidR="004A557F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(-7,0</w:t>
      </w:r>
      <w:r w:rsidR="001319CF" w:rsidRPr="009455E7">
        <w:rPr>
          <w:rFonts w:ascii="Source Sans Pro" w:eastAsia="Times New Roman" w:hAnsi="Source Sans Pro" w:cs="Arial"/>
          <w:bCs/>
          <w:sz w:val="24"/>
          <w:szCs w:val="24"/>
        </w:rPr>
        <w:t>%)</w:t>
      </w:r>
      <w:r w:rsidR="004A557F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e outras despesas correntes (-8,0</w:t>
      </w:r>
      <w:r w:rsidR="00235BE1" w:rsidRPr="009455E7">
        <w:rPr>
          <w:rFonts w:ascii="Source Sans Pro" w:eastAsia="Times New Roman" w:hAnsi="Source Sans Pro" w:cs="Arial"/>
          <w:bCs/>
          <w:sz w:val="24"/>
          <w:szCs w:val="24"/>
        </w:rPr>
        <w:t>%), conforme</w:t>
      </w:r>
      <w:r w:rsidR="00860DEC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abaixo se apresenta:</w:t>
      </w:r>
    </w:p>
    <w:p w:rsidR="00F10888" w:rsidRPr="009455E7" w:rsidRDefault="00235BE1" w:rsidP="00AE7E26">
      <w:pPr>
        <w:pStyle w:val="PargrafodaLista"/>
        <w:numPr>
          <w:ilvl w:val="0"/>
          <w:numId w:val="11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 xml:space="preserve">A </w:t>
      </w:r>
      <w:r w:rsidR="001F469E" w:rsidRPr="009455E7">
        <w:rPr>
          <w:rFonts w:ascii="Source Sans Pro" w:hAnsi="Source Sans Pro" w:cs="Arial"/>
          <w:bCs/>
        </w:rPr>
        <w:t>“</w:t>
      </w:r>
      <w:r w:rsidRPr="009455E7">
        <w:rPr>
          <w:rFonts w:ascii="Source Sans Pro" w:hAnsi="Source Sans Pro" w:cs="Arial"/>
          <w:bCs/>
        </w:rPr>
        <w:t>despesa com o pess</w:t>
      </w:r>
      <w:r w:rsidR="00FF0E23" w:rsidRPr="009455E7">
        <w:rPr>
          <w:rFonts w:ascii="Source Sans Pro" w:hAnsi="Source Sans Pro" w:cs="Arial"/>
          <w:bCs/>
        </w:rPr>
        <w:t>oal</w:t>
      </w:r>
      <w:r w:rsidR="001F469E" w:rsidRPr="009455E7">
        <w:rPr>
          <w:rFonts w:ascii="Source Sans Pro" w:hAnsi="Source Sans Pro" w:cs="Arial"/>
          <w:bCs/>
        </w:rPr>
        <w:t>”</w:t>
      </w:r>
      <w:r w:rsidR="00FF0E23" w:rsidRPr="009455E7">
        <w:rPr>
          <w:rFonts w:ascii="Source Sans Pro" w:hAnsi="Source Sans Pro" w:cs="Arial"/>
          <w:bCs/>
        </w:rPr>
        <w:t xml:space="preserve"> evidenciou um aumento de </w:t>
      </w:r>
      <w:r w:rsidR="00830CA9" w:rsidRPr="009455E7">
        <w:rPr>
          <w:rFonts w:ascii="Source Sans Pro" w:hAnsi="Source Sans Pro" w:cs="Arial"/>
          <w:bCs/>
        </w:rPr>
        <w:t>3,4</w:t>
      </w:r>
      <w:r w:rsidRPr="009455E7">
        <w:rPr>
          <w:rFonts w:ascii="Source Sans Pro" w:hAnsi="Source Sans Pro" w:cs="Arial"/>
          <w:bCs/>
        </w:rPr>
        <w:t>% (</w:t>
      </w:r>
      <w:r w:rsidR="00C12F7E" w:rsidRPr="009455E7">
        <w:rPr>
          <w:rFonts w:ascii="Source Sans Pro" w:hAnsi="Source Sans Pro" w:cs="Arial"/>
          <w:bCs/>
        </w:rPr>
        <w:t xml:space="preserve">+ </w:t>
      </w:r>
      <w:r w:rsidR="00F634ED">
        <w:rPr>
          <w:rFonts w:ascii="Source Sans Pro" w:hAnsi="Source Sans Pro" w:cs="Arial"/>
          <w:bCs/>
        </w:rPr>
        <w:t>415,4</w:t>
      </w:r>
      <w:r w:rsidR="00B63AFE" w:rsidRPr="009455E7">
        <w:rPr>
          <w:rFonts w:ascii="Source Sans Pro" w:hAnsi="Source Sans Pro" w:cs="Arial"/>
          <w:bCs/>
        </w:rPr>
        <w:t xml:space="preserve"> </w:t>
      </w:r>
      <w:r w:rsidRPr="009455E7">
        <w:rPr>
          <w:rFonts w:ascii="Source Sans Pro" w:hAnsi="Source Sans Pro" w:cs="Arial"/>
          <w:bCs/>
        </w:rPr>
        <w:t>milhões de CVE) decorrente</w:t>
      </w:r>
      <w:r w:rsidR="00A618E1" w:rsidRPr="009455E7">
        <w:rPr>
          <w:rFonts w:ascii="Source Sans Pro" w:hAnsi="Source Sans Pro" w:cs="Arial"/>
          <w:bCs/>
        </w:rPr>
        <w:t>:</w:t>
      </w:r>
    </w:p>
    <w:p w:rsidR="00C00B90" w:rsidRPr="009455E7" w:rsidRDefault="00C00B90" w:rsidP="00C00B90">
      <w:pPr>
        <w:pStyle w:val="PargrafodaLista"/>
        <w:numPr>
          <w:ilvl w:val="1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 xml:space="preserve">do impacto de implementação de PCCS </w:t>
      </w:r>
      <w:r w:rsidR="00EC6218" w:rsidRPr="009455E7">
        <w:rPr>
          <w:rFonts w:ascii="Source Sans Pro" w:hAnsi="Source Sans Pro" w:cs="Arial"/>
          <w:bCs/>
        </w:rPr>
        <w:t>das Forças Armadas, que teve iní</w:t>
      </w:r>
      <w:r w:rsidRPr="009455E7">
        <w:rPr>
          <w:rFonts w:ascii="Source Sans Pro" w:hAnsi="Source Sans Pro" w:cs="Arial"/>
          <w:bCs/>
        </w:rPr>
        <w:t xml:space="preserve">cio no segundo trimestre de 2020, e reclassificações e acumulação de carga horária que vieram a ter impacto no mês de </w:t>
      </w:r>
      <w:r w:rsidR="00F15C6C" w:rsidRPr="009455E7">
        <w:rPr>
          <w:rFonts w:ascii="Source Sans Pro" w:hAnsi="Source Sans Pro" w:cs="Arial"/>
          <w:bCs/>
        </w:rPr>
        <w:t>junho</w:t>
      </w:r>
      <w:r w:rsidRPr="009455E7">
        <w:rPr>
          <w:rFonts w:ascii="Source Sans Pro" w:hAnsi="Source Sans Pro" w:cs="Arial"/>
          <w:bCs/>
        </w:rPr>
        <w:t xml:space="preserve"> do presente ano, com destaque ao Ministério de Educação</w:t>
      </w:r>
      <w:r w:rsidR="00EC6218" w:rsidRPr="009455E7">
        <w:rPr>
          <w:rFonts w:ascii="Source Sans Pro" w:hAnsi="Source Sans Pro" w:cs="Arial"/>
          <w:bCs/>
        </w:rPr>
        <w:t>; enquanto que em 2021 os impactos em causa são de 12 meses</w:t>
      </w:r>
      <w:r w:rsidRPr="009455E7">
        <w:rPr>
          <w:rFonts w:ascii="Source Sans Pro" w:hAnsi="Source Sans Pro" w:cs="Arial"/>
          <w:bCs/>
        </w:rPr>
        <w:t>;</w:t>
      </w:r>
    </w:p>
    <w:p w:rsidR="00F82875" w:rsidRPr="009455E7" w:rsidRDefault="00F82875" w:rsidP="00F82875">
      <w:pPr>
        <w:pStyle w:val="PargrafodaLista"/>
        <w:numPr>
          <w:ilvl w:val="1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/>
          <w:color w:val="000000" w:themeColor="text1"/>
        </w:rPr>
        <w:t>do impacto na contratação de técnicos e pessoal de saúde, bem como aumento das velas e senhas de presença nas estruturas de saúde no âmbito da necessidade de resposta à Covid-19;</w:t>
      </w:r>
    </w:p>
    <w:p w:rsidR="00A618E1" w:rsidRPr="009455E7" w:rsidRDefault="00F10888" w:rsidP="00F82875">
      <w:pPr>
        <w:pStyle w:val="PargrafodaLista"/>
        <w:numPr>
          <w:ilvl w:val="1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>da r</w:t>
      </w:r>
      <w:r w:rsidR="00235BE1" w:rsidRPr="009455E7">
        <w:rPr>
          <w:rFonts w:ascii="Source Sans Pro" w:hAnsi="Source Sans Pro" w:cs="Arial"/>
          <w:bCs/>
        </w:rPr>
        <w:t>egularização atempada das despesas dos Órgãos de Soberania, nomeadamente a Assembleia Nacional e Presidência da República e também das Embaixadas</w:t>
      </w:r>
      <w:r w:rsidR="00D96C49" w:rsidRPr="009455E7">
        <w:rPr>
          <w:rFonts w:ascii="Source Sans Pro" w:hAnsi="Source Sans Pro" w:cs="Arial"/>
          <w:bCs/>
        </w:rPr>
        <w:t>;</w:t>
      </w:r>
      <w:r w:rsidR="00235BE1" w:rsidRPr="009455E7">
        <w:rPr>
          <w:rFonts w:ascii="Source Sans Pro" w:hAnsi="Source Sans Pro" w:cs="Arial"/>
          <w:bCs/>
        </w:rPr>
        <w:t xml:space="preserve"> </w:t>
      </w:r>
      <w:r w:rsidR="000845D2" w:rsidRPr="009455E7">
        <w:rPr>
          <w:rFonts w:ascii="Source Sans Pro" w:hAnsi="Source Sans Pro" w:cs="Arial"/>
          <w:bCs/>
        </w:rPr>
        <w:t>e</w:t>
      </w:r>
    </w:p>
    <w:p w:rsidR="00A618E1" w:rsidRPr="009455E7" w:rsidRDefault="00F10888" w:rsidP="00F82875">
      <w:pPr>
        <w:pStyle w:val="PargrafodaLista"/>
        <w:numPr>
          <w:ilvl w:val="1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/>
          <w:color w:val="000000" w:themeColor="text1"/>
        </w:rPr>
        <w:t xml:space="preserve">da </w:t>
      </w:r>
      <w:proofErr w:type="spellStart"/>
      <w:r w:rsidR="00D96C49" w:rsidRPr="009455E7">
        <w:rPr>
          <w:rFonts w:ascii="Source Sans Pro" w:hAnsi="Source Sans Pro"/>
          <w:i/>
          <w:color w:val="000000" w:themeColor="text1"/>
        </w:rPr>
        <w:t>Bancarização</w:t>
      </w:r>
      <w:proofErr w:type="spellEnd"/>
      <w:r w:rsidR="00D96C49" w:rsidRPr="009455E7">
        <w:rPr>
          <w:rFonts w:ascii="Source Sans Pro" w:hAnsi="Source Sans Pro"/>
          <w:color w:val="000000" w:themeColor="text1"/>
        </w:rPr>
        <w:t xml:space="preserve"> das estruturas do Supremo Tribunal de Justiça, Conselho Superior do Ministério Público, Conselho Superior da Magistratura Judicial, Tribunal de </w:t>
      </w:r>
      <w:r w:rsidR="00A618E1" w:rsidRPr="009455E7">
        <w:rPr>
          <w:rFonts w:ascii="Source Sans Pro" w:hAnsi="Source Sans Pro"/>
          <w:color w:val="000000" w:themeColor="text1"/>
        </w:rPr>
        <w:t>Contas, das</w:t>
      </w:r>
      <w:r w:rsidR="00D96C49" w:rsidRPr="009455E7">
        <w:rPr>
          <w:rFonts w:ascii="Source Sans Pro" w:hAnsi="Source Sans Pro"/>
          <w:color w:val="000000" w:themeColor="text1"/>
        </w:rPr>
        <w:t xml:space="preserve"> Comissões de Recenseamento Eleitor</w:t>
      </w:r>
      <w:r w:rsidR="009158CA" w:rsidRPr="009455E7">
        <w:rPr>
          <w:rFonts w:ascii="Source Sans Pro" w:hAnsi="Source Sans Pro"/>
          <w:color w:val="000000" w:themeColor="text1"/>
        </w:rPr>
        <w:t>al e do Cofre Geral de Justiça.</w:t>
      </w:r>
    </w:p>
    <w:p w:rsidR="00C00B90" w:rsidRPr="009455E7" w:rsidRDefault="00F10888" w:rsidP="004404D4">
      <w:pPr>
        <w:pStyle w:val="PargrafodaLista"/>
        <w:numPr>
          <w:ilvl w:val="0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>“</w:t>
      </w:r>
      <w:r w:rsidR="00235BE1" w:rsidRPr="009455E7">
        <w:rPr>
          <w:rFonts w:ascii="Source Sans Pro" w:hAnsi="Source Sans Pro" w:cs="Arial"/>
          <w:bCs/>
        </w:rPr>
        <w:t>Aquisição de bens e serviços</w:t>
      </w:r>
      <w:r w:rsidRPr="009455E7">
        <w:rPr>
          <w:rFonts w:ascii="Source Sans Pro" w:hAnsi="Source Sans Pro" w:cs="Arial"/>
          <w:bCs/>
        </w:rPr>
        <w:t>”</w:t>
      </w:r>
      <w:r w:rsidR="00235BE1" w:rsidRPr="009455E7">
        <w:rPr>
          <w:rFonts w:ascii="Source Sans Pro" w:hAnsi="Source Sans Pro" w:cs="Arial"/>
          <w:bCs/>
        </w:rPr>
        <w:t xml:space="preserve"> re</w:t>
      </w:r>
      <w:r w:rsidR="001C3F32" w:rsidRPr="009455E7">
        <w:rPr>
          <w:rFonts w:ascii="Source Sans Pro" w:hAnsi="Source Sans Pro" w:cs="Arial"/>
          <w:bCs/>
        </w:rPr>
        <w:t xml:space="preserve">gistaram um aumento de </w:t>
      </w:r>
      <w:r w:rsidR="00162F20" w:rsidRPr="009455E7">
        <w:rPr>
          <w:rFonts w:ascii="Source Sans Pro" w:hAnsi="Source Sans Pro" w:cs="Arial"/>
          <w:bCs/>
        </w:rPr>
        <w:t>7,0</w:t>
      </w:r>
      <w:r w:rsidR="00235BE1" w:rsidRPr="009455E7">
        <w:rPr>
          <w:rFonts w:ascii="Source Sans Pro" w:hAnsi="Source Sans Pro" w:cs="Arial"/>
          <w:bCs/>
        </w:rPr>
        <w:t>% (+</w:t>
      </w:r>
      <w:r w:rsidR="00162F20" w:rsidRPr="009455E7">
        <w:rPr>
          <w:rFonts w:ascii="Source Sans Pro" w:hAnsi="Source Sans Pro" w:cs="Arial"/>
          <w:bCs/>
        </w:rPr>
        <w:t xml:space="preserve">286,0 </w:t>
      </w:r>
      <w:r w:rsidR="00235BE1" w:rsidRPr="009455E7">
        <w:rPr>
          <w:rFonts w:ascii="Source Sans Pro" w:hAnsi="Source Sans Pro" w:cs="Arial"/>
          <w:bCs/>
        </w:rPr>
        <w:t xml:space="preserve">milhões de CVE), em face ao período homólogo do ano </w:t>
      </w:r>
      <w:r w:rsidR="00007A30" w:rsidRPr="009455E7">
        <w:rPr>
          <w:rFonts w:ascii="Source Sans Pro" w:hAnsi="Source Sans Pro" w:cs="Arial"/>
          <w:bCs/>
        </w:rPr>
        <w:t>anterior, derivado</w:t>
      </w:r>
      <w:r w:rsidR="00D96C49" w:rsidRPr="009455E7">
        <w:rPr>
          <w:rFonts w:ascii="Source Sans Pro" w:hAnsi="Source Sans Pro" w:cs="Arial"/>
          <w:bCs/>
        </w:rPr>
        <w:t xml:space="preserve"> do aumento das seguintes </w:t>
      </w:r>
      <w:r w:rsidR="00007A30" w:rsidRPr="009455E7">
        <w:rPr>
          <w:rFonts w:ascii="Source Sans Pro" w:hAnsi="Source Sans Pro" w:cs="Arial"/>
          <w:bCs/>
        </w:rPr>
        <w:t>rubricas</w:t>
      </w:r>
      <w:r w:rsidR="004E5395" w:rsidRPr="009455E7">
        <w:rPr>
          <w:rFonts w:ascii="Source Sans Pro" w:hAnsi="Source Sans Pro" w:cs="Arial"/>
          <w:bCs/>
        </w:rPr>
        <w:t>:</w:t>
      </w:r>
      <w:r w:rsidR="004404D4" w:rsidRPr="009455E7">
        <w:rPr>
          <w:rFonts w:ascii="Source Sans Pro" w:hAnsi="Source Sans Pro" w:cs="Arial"/>
          <w:bCs/>
        </w:rPr>
        <w:t xml:space="preserve"> </w:t>
      </w:r>
      <w:r w:rsidR="00007A30" w:rsidRPr="009455E7">
        <w:rPr>
          <w:rFonts w:ascii="Source Sans Pro" w:hAnsi="Source Sans Pro" w:cs="Arial"/>
          <w:bCs/>
        </w:rPr>
        <w:t>Material</w:t>
      </w:r>
      <w:r w:rsidR="00D96C49" w:rsidRPr="009455E7">
        <w:rPr>
          <w:rFonts w:ascii="Source Sans Pro" w:hAnsi="Source Sans Pro" w:cs="Arial"/>
          <w:bCs/>
        </w:rPr>
        <w:t xml:space="preserve"> de consumo clínico em </w:t>
      </w:r>
      <w:r w:rsidR="0072787E" w:rsidRPr="009455E7">
        <w:rPr>
          <w:rFonts w:ascii="Source Sans Pro" w:hAnsi="Source Sans Pro" w:cs="Arial"/>
          <w:bCs/>
        </w:rPr>
        <w:t>92,6%</w:t>
      </w:r>
      <w:r w:rsidR="006D13F6" w:rsidRPr="009455E7">
        <w:rPr>
          <w:rFonts w:ascii="Source Sans Pro" w:hAnsi="Source Sans Pro" w:cs="Arial"/>
          <w:bCs/>
        </w:rPr>
        <w:t xml:space="preserve"> (</w:t>
      </w:r>
      <w:r w:rsidR="00F61B5E" w:rsidRPr="009455E7">
        <w:rPr>
          <w:rFonts w:ascii="Source Sans Pro" w:hAnsi="Source Sans Pro" w:cs="Arial"/>
          <w:bCs/>
        </w:rPr>
        <w:t>+</w:t>
      </w:r>
      <w:r w:rsidR="00190C11" w:rsidRPr="009455E7">
        <w:rPr>
          <w:rFonts w:ascii="Source Sans Pro" w:hAnsi="Source Sans Pro" w:cs="Arial"/>
          <w:bCs/>
        </w:rPr>
        <w:t xml:space="preserve">182,4 </w:t>
      </w:r>
      <w:r w:rsidR="00DC6C95" w:rsidRPr="009455E7">
        <w:rPr>
          <w:rFonts w:ascii="Source Sans Pro" w:hAnsi="Source Sans Pro" w:cs="Arial"/>
          <w:bCs/>
        </w:rPr>
        <w:t>milhões de CVE)</w:t>
      </w:r>
      <w:r w:rsidR="00D96C49" w:rsidRPr="009455E7">
        <w:rPr>
          <w:rFonts w:ascii="Source Sans Pro" w:hAnsi="Source Sans Pro" w:cs="Arial"/>
          <w:bCs/>
        </w:rPr>
        <w:t xml:space="preserve"> decorrente da execução dos projetos de </w:t>
      </w:r>
      <w:r w:rsidR="00007A30" w:rsidRPr="009455E7">
        <w:rPr>
          <w:rFonts w:ascii="Source Sans Pro" w:hAnsi="Source Sans Pro" w:cs="Arial"/>
          <w:bCs/>
        </w:rPr>
        <w:t xml:space="preserve">prevenção e combate à Covid-19; </w:t>
      </w:r>
      <w:r w:rsidR="004E5395" w:rsidRPr="009455E7">
        <w:rPr>
          <w:rFonts w:ascii="Source Sans Pro" w:hAnsi="Source Sans Pro" w:cs="Arial"/>
          <w:bCs/>
        </w:rPr>
        <w:t>C</w:t>
      </w:r>
      <w:r w:rsidR="00007A30" w:rsidRPr="009455E7">
        <w:rPr>
          <w:rFonts w:ascii="Source Sans Pro" w:hAnsi="Source Sans Pro" w:cs="Arial"/>
          <w:bCs/>
        </w:rPr>
        <w:t xml:space="preserve">onservação e reparação de bens em </w:t>
      </w:r>
      <w:r w:rsidR="00190C11" w:rsidRPr="009455E7">
        <w:rPr>
          <w:rFonts w:ascii="Source Sans Pro" w:hAnsi="Source Sans Pro" w:cs="Arial"/>
          <w:bCs/>
        </w:rPr>
        <w:t>56,6%</w:t>
      </w:r>
      <w:r w:rsidR="00B17857" w:rsidRPr="009455E7">
        <w:rPr>
          <w:rFonts w:ascii="Source Sans Pro" w:hAnsi="Source Sans Pro" w:cs="Arial"/>
          <w:bCs/>
        </w:rPr>
        <w:t xml:space="preserve"> </w:t>
      </w:r>
      <w:r w:rsidR="00007A30" w:rsidRPr="009455E7">
        <w:rPr>
          <w:rFonts w:ascii="Source Sans Pro" w:hAnsi="Source Sans Pro" w:cs="Arial"/>
          <w:bCs/>
        </w:rPr>
        <w:t>(</w:t>
      </w:r>
      <w:r w:rsidR="00FF4D3B" w:rsidRPr="009455E7">
        <w:rPr>
          <w:rFonts w:ascii="Source Sans Pro" w:hAnsi="Source Sans Pro" w:cs="Arial"/>
          <w:bCs/>
        </w:rPr>
        <w:t>+</w:t>
      </w:r>
      <w:r w:rsidR="00190C11" w:rsidRPr="009455E7">
        <w:rPr>
          <w:rFonts w:ascii="Source Sans Pro" w:hAnsi="Source Sans Pro" w:cs="Arial"/>
          <w:bCs/>
        </w:rPr>
        <w:t xml:space="preserve">63,6 </w:t>
      </w:r>
      <w:r w:rsidR="00007A30" w:rsidRPr="009455E7">
        <w:rPr>
          <w:rFonts w:ascii="Source Sans Pro" w:hAnsi="Source Sans Pro" w:cs="Arial"/>
          <w:bCs/>
        </w:rPr>
        <w:t xml:space="preserve">milhões de CVE); </w:t>
      </w:r>
      <w:r w:rsidR="004E5395" w:rsidRPr="009455E7">
        <w:rPr>
          <w:rFonts w:ascii="Source Sans Pro" w:hAnsi="Source Sans Pro" w:cs="Arial"/>
          <w:bCs/>
        </w:rPr>
        <w:t>H</w:t>
      </w:r>
      <w:r w:rsidR="00007A30" w:rsidRPr="009455E7">
        <w:rPr>
          <w:rFonts w:ascii="Source Sans Pro" w:hAnsi="Source Sans Pro" w:cs="Arial"/>
          <w:bCs/>
        </w:rPr>
        <w:t xml:space="preserve">onorário em </w:t>
      </w:r>
      <w:r w:rsidR="00190C11" w:rsidRPr="009455E7">
        <w:rPr>
          <w:rFonts w:ascii="Source Sans Pro" w:hAnsi="Source Sans Pro" w:cs="Arial"/>
          <w:bCs/>
        </w:rPr>
        <w:t>256,0%</w:t>
      </w:r>
      <w:r w:rsidR="00007A30" w:rsidRPr="009455E7">
        <w:rPr>
          <w:rFonts w:ascii="Source Sans Pro" w:hAnsi="Source Sans Pro" w:cs="Arial"/>
          <w:bCs/>
        </w:rPr>
        <w:t xml:space="preserve"> (+</w:t>
      </w:r>
      <w:r w:rsidR="00190C11" w:rsidRPr="009455E7">
        <w:rPr>
          <w:rFonts w:ascii="Source Sans Pro" w:hAnsi="Source Sans Pro" w:cs="Arial"/>
          <w:bCs/>
        </w:rPr>
        <w:t xml:space="preserve">214,5 </w:t>
      </w:r>
      <w:r w:rsidR="00007A30" w:rsidRPr="009455E7">
        <w:rPr>
          <w:rFonts w:ascii="Source Sans Pro" w:hAnsi="Source Sans Pro" w:cs="Arial"/>
          <w:bCs/>
        </w:rPr>
        <w:t>milhões de CVE) resultant</w:t>
      </w:r>
      <w:r w:rsidR="00A618E1" w:rsidRPr="009455E7">
        <w:rPr>
          <w:rFonts w:ascii="Source Sans Pro" w:hAnsi="Source Sans Pro" w:cs="Arial"/>
          <w:bCs/>
        </w:rPr>
        <w:t>e de despesas no âmbito das polí</w:t>
      </w:r>
      <w:r w:rsidR="00007A30" w:rsidRPr="009455E7">
        <w:rPr>
          <w:rFonts w:ascii="Source Sans Pro" w:hAnsi="Source Sans Pro" w:cs="Arial"/>
          <w:bCs/>
        </w:rPr>
        <w:t>ticas de emprego e reforço ao sector de Educação</w:t>
      </w:r>
      <w:r w:rsidR="00C20A5A" w:rsidRPr="009455E7">
        <w:rPr>
          <w:rFonts w:ascii="Source Sans Pro" w:hAnsi="Source Sans Pro" w:cs="Arial"/>
          <w:bCs/>
        </w:rPr>
        <w:t xml:space="preserve">; </w:t>
      </w:r>
      <w:r w:rsidR="00C00B90" w:rsidRPr="009455E7">
        <w:rPr>
          <w:rFonts w:ascii="Source Sans Pro" w:hAnsi="Source Sans Pro" w:cs="Arial"/>
          <w:bCs/>
        </w:rPr>
        <w:t xml:space="preserve">e despesas no âmbito das eleições (+57,3 milhões </w:t>
      </w:r>
      <w:r w:rsidR="00E76898" w:rsidRPr="009455E7">
        <w:rPr>
          <w:rFonts w:ascii="Source Sans Pro" w:hAnsi="Source Sans Pro" w:cs="Arial"/>
          <w:bCs/>
        </w:rPr>
        <w:t xml:space="preserve">de </w:t>
      </w:r>
      <w:r w:rsidR="00C00B90" w:rsidRPr="009455E7">
        <w:rPr>
          <w:rFonts w:ascii="Source Sans Pro" w:hAnsi="Source Sans Pro" w:cs="Arial"/>
          <w:bCs/>
        </w:rPr>
        <w:t xml:space="preserve">CVE). Tais agravamentos foram atenuados pelas </w:t>
      </w:r>
      <w:r w:rsidR="00C00B90" w:rsidRPr="009455E7">
        <w:rPr>
          <w:rFonts w:ascii="Source Sans Pro" w:hAnsi="Source Sans Pro" w:cs="Arial"/>
          <w:bCs/>
        </w:rPr>
        <w:lastRenderedPageBreak/>
        <w:t>medidas de cativos de despesas adotadas pelo Governo, através da Resolução do Conselho de Ministro n.º 8/2021, de 2 de fevereiro.</w:t>
      </w:r>
    </w:p>
    <w:p w:rsidR="004057FE" w:rsidRPr="009455E7" w:rsidRDefault="00D22FDD" w:rsidP="004801B0">
      <w:pPr>
        <w:pStyle w:val="PargrafodaLista"/>
        <w:numPr>
          <w:ilvl w:val="0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 xml:space="preserve">A despesa com os juros </w:t>
      </w:r>
      <w:r w:rsidR="00A618E1" w:rsidRPr="009455E7">
        <w:rPr>
          <w:rFonts w:ascii="Source Sans Pro" w:hAnsi="Source Sans Pro" w:cs="Arial"/>
          <w:bCs/>
        </w:rPr>
        <w:t>da dívida registou um</w:t>
      </w:r>
      <w:r w:rsidR="001C3F32" w:rsidRPr="009455E7">
        <w:rPr>
          <w:rFonts w:ascii="Source Sans Pro" w:hAnsi="Source Sans Pro" w:cs="Arial"/>
          <w:bCs/>
        </w:rPr>
        <w:t>a</w:t>
      </w:r>
      <w:r w:rsidR="00A618E1" w:rsidRPr="009455E7">
        <w:rPr>
          <w:rFonts w:ascii="Source Sans Pro" w:hAnsi="Source Sans Pro" w:cs="Arial"/>
          <w:bCs/>
        </w:rPr>
        <w:t xml:space="preserve"> </w:t>
      </w:r>
      <w:r w:rsidR="001C3F32" w:rsidRPr="009455E7">
        <w:rPr>
          <w:rFonts w:ascii="Source Sans Pro" w:hAnsi="Source Sans Pro" w:cs="Arial"/>
          <w:bCs/>
        </w:rPr>
        <w:t>diminuição</w:t>
      </w:r>
      <w:r w:rsidR="00A618E1" w:rsidRPr="009455E7">
        <w:rPr>
          <w:rFonts w:ascii="Source Sans Pro" w:hAnsi="Source Sans Pro" w:cs="Arial"/>
          <w:bCs/>
        </w:rPr>
        <w:t xml:space="preserve"> </w:t>
      </w:r>
      <w:r w:rsidRPr="009455E7">
        <w:rPr>
          <w:rFonts w:ascii="Source Sans Pro" w:hAnsi="Source Sans Pro" w:cs="Arial"/>
          <w:bCs/>
        </w:rPr>
        <w:t xml:space="preserve">de </w:t>
      </w:r>
      <w:r w:rsidR="004801B0" w:rsidRPr="009455E7">
        <w:rPr>
          <w:rFonts w:ascii="Source Sans Pro" w:hAnsi="Source Sans Pro" w:cs="Arial"/>
          <w:bCs/>
        </w:rPr>
        <w:t>21,5%</w:t>
      </w:r>
      <w:r w:rsidRPr="009455E7">
        <w:rPr>
          <w:rFonts w:ascii="Source Sans Pro" w:hAnsi="Source Sans Pro" w:cs="Arial"/>
          <w:bCs/>
        </w:rPr>
        <w:t xml:space="preserve"> </w:t>
      </w:r>
      <w:r w:rsidR="004801B0" w:rsidRPr="009455E7">
        <w:rPr>
          <w:rFonts w:ascii="Source Sans Pro" w:hAnsi="Source Sans Pro" w:cs="Arial"/>
          <w:bCs/>
        </w:rPr>
        <w:t xml:space="preserve">(-666,7 </w:t>
      </w:r>
      <w:r w:rsidRPr="009455E7">
        <w:rPr>
          <w:rFonts w:ascii="Source Sans Pro" w:hAnsi="Source Sans Pro" w:cs="Arial"/>
          <w:bCs/>
        </w:rPr>
        <w:t>milhões de CVE), comparado com o mesmo período de 2020</w:t>
      </w:r>
      <w:r w:rsidR="004348A7" w:rsidRPr="009455E7">
        <w:rPr>
          <w:rFonts w:ascii="Source Sans Pro" w:hAnsi="Source Sans Pro" w:cs="Arial"/>
          <w:bCs/>
        </w:rPr>
        <w:t xml:space="preserve">, resultado </w:t>
      </w:r>
      <w:r w:rsidR="009D76D1" w:rsidRPr="009455E7">
        <w:rPr>
          <w:rFonts w:ascii="Source Sans Pro" w:hAnsi="Source Sans Pro" w:cs="Arial"/>
          <w:bCs/>
        </w:rPr>
        <w:t xml:space="preserve">dos juros </w:t>
      </w:r>
      <w:r w:rsidR="001B52E2" w:rsidRPr="009455E7">
        <w:rPr>
          <w:rFonts w:ascii="Source Sans Pro" w:hAnsi="Source Sans Pro" w:cs="Arial"/>
          <w:bCs/>
        </w:rPr>
        <w:t>da dívida externa</w:t>
      </w:r>
      <w:r w:rsidR="009D76D1" w:rsidRPr="009455E7">
        <w:rPr>
          <w:rFonts w:ascii="Source Sans Pro" w:hAnsi="Source Sans Pro" w:cs="Arial"/>
          <w:bCs/>
        </w:rPr>
        <w:t xml:space="preserve"> </w:t>
      </w:r>
      <w:r w:rsidR="00F833A9" w:rsidRPr="009455E7">
        <w:rPr>
          <w:rFonts w:ascii="Source Sans Pro" w:hAnsi="Source Sans Pro" w:cs="Arial"/>
          <w:bCs/>
        </w:rPr>
        <w:t>na decorrência</w:t>
      </w:r>
      <w:r w:rsidR="001B52E2" w:rsidRPr="009455E7">
        <w:rPr>
          <w:rFonts w:ascii="Source Sans Pro" w:hAnsi="Source Sans Pro" w:cs="Arial"/>
          <w:bCs/>
        </w:rPr>
        <w:t xml:space="preserve"> da moratória concedida pelos credores bilaterais para mitigar os efeitos da </w:t>
      </w:r>
      <w:r w:rsidR="001F469E" w:rsidRPr="009455E7">
        <w:rPr>
          <w:rFonts w:ascii="Source Sans Pro" w:hAnsi="Source Sans Pro" w:cs="Arial"/>
          <w:bCs/>
        </w:rPr>
        <w:t>Covid</w:t>
      </w:r>
      <w:r w:rsidR="001B52E2" w:rsidRPr="009455E7">
        <w:rPr>
          <w:rFonts w:ascii="Source Sans Pro" w:hAnsi="Source Sans Pro" w:cs="Arial"/>
          <w:bCs/>
        </w:rPr>
        <w:t xml:space="preserve">-19 nos países mais </w:t>
      </w:r>
      <w:r w:rsidR="00C00B90" w:rsidRPr="009455E7">
        <w:rPr>
          <w:rFonts w:ascii="Source Sans Pro" w:hAnsi="Source Sans Pro" w:cs="Arial"/>
          <w:bCs/>
        </w:rPr>
        <w:t>vulneráveis.</w:t>
      </w:r>
    </w:p>
    <w:p w:rsidR="006435D5" w:rsidRPr="009455E7" w:rsidRDefault="00F10888" w:rsidP="004801B0">
      <w:pPr>
        <w:pStyle w:val="PargrafodaLista"/>
        <w:numPr>
          <w:ilvl w:val="0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>Os “</w:t>
      </w:r>
      <w:r w:rsidR="00A76AB4" w:rsidRPr="009455E7">
        <w:rPr>
          <w:rFonts w:ascii="Source Sans Pro" w:hAnsi="Source Sans Pro" w:cs="Arial"/>
          <w:bCs/>
        </w:rPr>
        <w:t>Subsídios</w:t>
      </w:r>
      <w:r w:rsidRPr="009455E7">
        <w:rPr>
          <w:rFonts w:ascii="Source Sans Pro" w:hAnsi="Source Sans Pro" w:cs="Arial"/>
          <w:bCs/>
        </w:rPr>
        <w:t>”</w:t>
      </w:r>
      <w:r w:rsidR="00A76AB4" w:rsidRPr="009455E7">
        <w:rPr>
          <w:rFonts w:ascii="Source Sans Pro" w:hAnsi="Source Sans Pro" w:cs="Arial"/>
          <w:bCs/>
        </w:rPr>
        <w:t xml:space="preserve"> registaram um acréscimo de </w:t>
      </w:r>
      <w:r w:rsidR="004801B0" w:rsidRPr="009455E7">
        <w:rPr>
          <w:rFonts w:ascii="Source Sans Pro" w:hAnsi="Source Sans Pro" w:cs="Arial"/>
          <w:bCs/>
        </w:rPr>
        <w:t>103,1%</w:t>
      </w:r>
      <w:r w:rsidR="00A76AB4" w:rsidRPr="009455E7">
        <w:rPr>
          <w:rFonts w:ascii="Source Sans Pro" w:hAnsi="Source Sans Pro" w:cs="Arial"/>
          <w:bCs/>
        </w:rPr>
        <w:t xml:space="preserve"> (+</w:t>
      </w:r>
      <w:r w:rsidR="004801B0" w:rsidRPr="009455E7">
        <w:rPr>
          <w:rFonts w:ascii="Source Sans Pro" w:hAnsi="Source Sans Pro" w:cs="Arial"/>
          <w:bCs/>
        </w:rPr>
        <w:t xml:space="preserve">350,5 </w:t>
      </w:r>
      <w:r w:rsidR="00A76AB4" w:rsidRPr="009455E7">
        <w:rPr>
          <w:rFonts w:ascii="Source Sans Pro" w:hAnsi="Source Sans Pro" w:cs="Arial"/>
          <w:bCs/>
        </w:rPr>
        <w:t>milhões de CVE), em face ao mesmo período de 2020</w:t>
      </w:r>
      <w:r w:rsidR="006D6652" w:rsidRPr="009455E7">
        <w:rPr>
          <w:rFonts w:ascii="Source Sans Pro" w:hAnsi="Source Sans Pro" w:cs="Arial"/>
          <w:bCs/>
        </w:rPr>
        <w:t xml:space="preserve">, </w:t>
      </w:r>
      <w:r w:rsidR="00A76AB4" w:rsidRPr="009455E7">
        <w:rPr>
          <w:rFonts w:ascii="Source Sans Pro" w:hAnsi="Source Sans Pro" w:cs="Arial"/>
          <w:bCs/>
        </w:rPr>
        <w:t>justificado</w:t>
      </w:r>
      <w:r w:rsidR="002F73CC">
        <w:rPr>
          <w:rFonts w:ascii="Source Sans Pro" w:hAnsi="Source Sans Pro" w:cs="Arial"/>
          <w:bCs/>
        </w:rPr>
        <w:t>,</w:t>
      </w:r>
      <w:r w:rsidR="00A76AB4" w:rsidRPr="009455E7">
        <w:rPr>
          <w:rFonts w:ascii="Source Sans Pro" w:hAnsi="Source Sans Pro" w:cs="Arial"/>
          <w:bCs/>
        </w:rPr>
        <w:t xml:space="preserve"> essencialmente, pelos subsídios transferidos às empresas privadas não financeiras, no âmbito da resolução 54/2021 de 16 de abril, resultante </w:t>
      </w:r>
      <w:r w:rsidR="006435D5" w:rsidRPr="009455E7">
        <w:rPr>
          <w:rFonts w:ascii="Source Sans Pro" w:hAnsi="Source Sans Pro" w:cs="Arial"/>
          <w:bCs/>
        </w:rPr>
        <w:t xml:space="preserve">de indemnização compensatória anual pelas obrigações de serviço público de transporte marítimo de passageiros e cargas </w:t>
      </w:r>
      <w:proofErr w:type="spellStart"/>
      <w:r w:rsidR="006435D5" w:rsidRPr="009455E7">
        <w:rPr>
          <w:rFonts w:ascii="Source Sans Pro" w:hAnsi="Source Sans Pro" w:cs="Arial"/>
          <w:bCs/>
        </w:rPr>
        <w:t>inter-</w:t>
      </w:r>
      <w:r w:rsidR="00BB67E2" w:rsidRPr="009455E7">
        <w:rPr>
          <w:rFonts w:ascii="Source Sans Pro" w:hAnsi="Source Sans Pro" w:cs="Arial"/>
          <w:bCs/>
        </w:rPr>
        <w:t>ilhas</w:t>
      </w:r>
      <w:proofErr w:type="spellEnd"/>
      <w:r w:rsidR="00BB67E2" w:rsidRPr="009455E7">
        <w:rPr>
          <w:rFonts w:ascii="Source Sans Pro" w:hAnsi="Source Sans Pro" w:cs="Arial"/>
          <w:bCs/>
        </w:rPr>
        <w:t>,</w:t>
      </w:r>
      <w:r w:rsidR="00BB67E2" w:rsidRPr="009455E7">
        <w:t xml:space="preserve"> </w:t>
      </w:r>
      <w:r w:rsidR="00BB67E2" w:rsidRPr="009455E7">
        <w:rPr>
          <w:rFonts w:ascii="Source Sans Pro" w:hAnsi="Source Sans Pro" w:cs="Arial"/>
          <w:bCs/>
        </w:rPr>
        <w:t>cujo</w:t>
      </w:r>
      <w:r w:rsidR="006435D5" w:rsidRPr="009455E7">
        <w:rPr>
          <w:rFonts w:ascii="Source Sans Pro" w:hAnsi="Source Sans Pro" w:cs="Arial"/>
          <w:bCs/>
        </w:rPr>
        <w:t xml:space="preserve"> pagamento é efetuado através do Fundo Autónomo de Desenvolvimento e Segurança do Transporte Marítimo</w:t>
      </w:r>
      <w:r w:rsidR="00E24411" w:rsidRPr="009455E7">
        <w:rPr>
          <w:rFonts w:ascii="Source Sans Pro" w:hAnsi="Source Sans Pro" w:cs="Arial"/>
          <w:bCs/>
        </w:rPr>
        <w:t>.</w:t>
      </w:r>
    </w:p>
    <w:p w:rsidR="00D22FDD" w:rsidRPr="009455E7" w:rsidRDefault="00D22FDD" w:rsidP="00BE246E">
      <w:pPr>
        <w:pStyle w:val="PargrafodaLista"/>
        <w:numPr>
          <w:ilvl w:val="0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 xml:space="preserve">Os </w:t>
      </w:r>
      <w:r w:rsidR="00F10888" w:rsidRPr="009455E7">
        <w:rPr>
          <w:rFonts w:ascii="Source Sans Pro" w:hAnsi="Source Sans Pro" w:cs="Arial"/>
          <w:bCs/>
        </w:rPr>
        <w:t>“</w:t>
      </w:r>
      <w:r w:rsidRPr="009455E7">
        <w:rPr>
          <w:rFonts w:ascii="Source Sans Pro" w:hAnsi="Source Sans Pro" w:cs="Arial"/>
          <w:bCs/>
        </w:rPr>
        <w:t>Benefícios Sociais</w:t>
      </w:r>
      <w:r w:rsidR="00F10888" w:rsidRPr="009455E7">
        <w:rPr>
          <w:rFonts w:ascii="Source Sans Pro" w:hAnsi="Source Sans Pro" w:cs="Arial"/>
          <w:bCs/>
        </w:rPr>
        <w:t>”</w:t>
      </w:r>
      <w:r w:rsidR="00B73A50" w:rsidRPr="009455E7">
        <w:rPr>
          <w:rFonts w:ascii="Source Sans Pro" w:hAnsi="Source Sans Pro" w:cs="Arial"/>
          <w:bCs/>
        </w:rPr>
        <w:t xml:space="preserve"> aumentaram </w:t>
      </w:r>
      <w:r w:rsidR="00BE246E" w:rsidRPr="009455E7">
        <w:rPr>
          <w:rFonts w:ascii="Source Sans Pro" w:hAnsi="Source Sans Pro" w:cs="Arial"/>
          <w:bCs/>
        </w:rPr>
        <w:t>22,6%</w:t>
      </w:r>
      <w:r w:rsidRPr="009455E7">
        <w:rPr>
          <w:rFonts w:ascii="Source Sans Pro" w:hAnsi="Source Sans Pro" w:cs="Arial"/>
          <w:bCs/>
        </w:rPr>
        <w:t xml:space="preserve"> (+</w:t>
      </w:r>
      <w:r w:rsidR="00BE246E" w:rsidRPr="009455E7">
        <w:rPr>
          <w:rFonts w:ascii="Source Sans Pro" w:hAnsi="Source Sans Pro" w:cs="Arial"/>
          <w:bCs/>
        </w:rPr>
        <w:t xml:space="preserve">1.028,7 </w:t>
      </w:r>
      <w:r w:rsidRPr="009455E7">
        <w:rPr>
          <w:rFonts w:ascii="Source Sans Pro" w:hAnsi="Source Sans Pro" w:cs="Arial"/>
          <w:bCs/>
        </w:rPr>
        <w:t>milhões de CVE), ju</w:t>
      </w:r>
      <w:r w:rsidR="00453B05" w:rsidRPr="009455E7">
        <w:rPr>
          <w:rFonts w:ascii="Source Sans Pro" w:hAnsi="Source Sans Pro" w:cs="Arial"/>
          <w:bCs/>
        </w:rPr>
        <w:t>stificado, essencialmente, pela dinâmic</w:t>
      </w:r>
      <w:r w:rsidR="00295FCF" w:rsidRPr="009455E7">
        <w:rPr>
          <w:rFonts w:ascii="Source Sans Pro" w:hAnsi="Source Sans Pro" w:cs="Arial"/>
          <w:bCs/>
        </w:rPr>
        <w:t xml:space="preserve">a esperada do aumento do número </w:t>
      </w:r>
      <w:r w:rsidR="00453B05" w:rsidRPr="009455E7">
        <w:rPr>
          <w:rFonts w:ascii="Source Sans Pro" w:hAnsi="Source Sans Pro" w:cs="Arial"/>
          <w:bCs/>
        </w:rPr>
        <w:t xml:space="preserve">dos pensionistas, originando um aumento nas rubricas de pensões de aposentação em </w:t>
      </w:r>
      <w:r w:rsidR="00BE246E" w:rsidRPr="009455E7">
        <w:rPr>
          <w:rFonts w:ascii="Source Sans Pro" w:hAnsi="Source Sans Pro" w:cs="Arial"/>
          <w:bCs/>
        </w:rPr>
        <w:t>9,4%</w:t>
      </w:r>
      <w:r w:rsidR="00453B05" w:rsidRPr="009455E7">
        <w:rPr>
          <w:rFonts w:ascii="Source Sans Pro" w:hAnsi="Source Sans Pro" w:cs="Arial"/>
          <w:bCs/>
        </w:rPr>
        <w:t xml:space="preserve"> (+</w:t>
      </w:r>
      <w:r w:rsidR="00BE246E" w:rsidRPr="009455E7">
        <w:rPr>
          <w:rFonts w:ascii="Source Sans Pro" w:hAnsi="Source Sans Pro" w:cs="Arial"/>
          <w:bCs/>
        </w:rPr>
        <w:t xml:space="preserve">251,0 </w:t>
      </w:r>
      <w:r w:rsidR="00453B05" w:rsidRPr="009455E7">
        <w:rPr>
          <w:rFonts w:ascii="Source Sans Pro" w:hAnsi="Source Sans Pro" w:cs="Arial"/>
          <w:bCs/>
        </w:rPr>
        <w:t xml:space="preserve">milhões de CVE); pensões de sobrevivência </w:t>
      </w:r>
      <w:r w:rsidR="00A618E1" w:rsidRPr="009455E7">
        <w:rPr>
          <w:rFonts w:ascii="Source Sans Pro" w:hAnsi="Source Sans Pro" w:cs="Arial"/>
          <w:bCs/>
        </w:rPr>
        <w:t xml:space="preserve">em </w:t>
      </w:r>
      <w:r w:rsidR="00BE246E" w:rsidRPr="009455E7">
        <w:rPr>
          <w:rFonts w:ascii="Source Sans Pro" w:hAnsi="Source Sans Pro" w:cs="Arial"/>
          <w:bCs/>
        </w:rPr>
        <w:t>15,9</w:t>
      </w:r>
      <w:r w:rsidR="00A618E1" w:rsidRPr="009455E7">
        <w:rPr>
          <w:rFonts w:ascii="Source Sans Pro" w:hAnsi="Source Sans Pro" w:cs="Arial"/>
          <w:bCs/>
        </w:rPr>
        <w:t>% (+</w:t>
      </w:r>
      <w:r w:rsidR="00BE246E" w:rsidRPr="009455E7">
        <w:rPr>
          <w:rFonts w:ascii="Source Sans Pro" w:hAnsi="Source Sans Pro" w:cs="Arial"/>
          <w:bCs/>
        </w:rPr>
        <w:t xml:space="preserve">25,2 </w:t>
      </w:r>
      <w:r w:rsidR="00A618E1" w:rsidRPr="009455E7">
        <w:rPr>
          <w:rFonts w:ascii="Source Sans Pro" w:hAnsi="Source Sans Pro" w:cs="Arial"/>
          <w:bCs/>
        </w:rPr>
        <w:t>milhões de CVE)</w:t>
      </w:r>
      <w:r w:rsidR="00453B05" w:rsidRPr="009455E7">
        <w:rPr>
          <w:rFonts w:ascii="Source Sans Pro" w:hAnsi="Source Sans Pro" w:cs="Arial"/>
          <w:bCs/>
        </w:rPr>
        <w:t xml:space="preserve"> e outros benefícios sociais em numerários em </w:t>
      </w:r>
      <w:r w:rsidR="00BE246E" w:rsidRPr="009455E7">
        <w:rPr>
          <w:rFonts w:ascii="Source Sans Pro" w:hAnsi="Source Sans Pro" w:cs="Arial"/>
          <w:bCs/>
        </w:rPr>
        <w:t>170,1%</w:t>
      </w:r>
      <w:r w:rsidR="00453B05" w:rsidRPr="009455E7">
        <w:rPr>
          <w:rFonts w:ascii="Source Sans Pro" w:hAnsi="Source Sans Pro" w:cs="Arial"/>
          <w:bCs/>
        </w:rPr>
        <w:t xml:space="preserve"> (+</w:t>
      </w:r>
      <w:r w:rsidR="00BE246E" w:rsidRPr="009455E7">
        <w:rPr>
          <w:rFonts w:ascii="Source Sans Pro" w:hAnsi="Source Sans Pro" w:cs="Arial"/>
          <w:bCs/>
        </w:rPr>
        <w:t xml:space="preserve">708,4 </w:t>
      </w:r>
      <w:r w:rsidR="00453B05" w:rsidRPr="009455E7">
        <w:rPr>
          <w:rFonts w:ascii="Source Sans Pro" w:hAnsi="Source Sans Pro" w:cs="Arial"/>
          <w:bCs/>
        </w:rPr>
        <w:t>milhões de CVE). Este último</w:t>
      </w:r>
      <w:r w:rsidR="002F73CC">
        <w:rPr>
          <w:rFonts w:ascii="Source Sans Pro" w:hAnsi="Source Sans Pro" w:cs="Arial"/>
          <w:bCs/>
        </w:rPr>
        <w:t>,</w:t>
      </w:r>
      <w:r w:rsidR="00453B05" w:rsidRPr="009455E7">
        <w:rPr>
          <w:rFonts w:ascii="Source Sans Pro" w:hAnsi="Source Sans Pro" w:cs="Arial"/>
          <w:bCs/>
        </w:rPr>
        <w:t xml:space="preserve"> no âmbito </w:t>
      </w:r>
      <w:r w:rsidR="008C276D" w:rsidRPr="009455E7">
        <w:rPr>
          <w:rFonts w:ascii="Source Sans Pro" w:hAnsi="Source Sans Pro" w:cs="Arial"/>
          <w:bCs/>
        </w:rPr>
        <w:t>do apoio social às famílias afet</w:t>
      </w:r>
      <w:r w:rsidR="00F833A9" w:rsidRPr="009455E7">
        <w:rPr>
          <w:rFonts w:ascii="Source Sans Pro" w:hAnsi="Source Sans Pro" w:cs="Arial"/>
          <w:bCs/>
        </w:rPr>
        <w:t>adas pela pandemia da Covid-19</w:t>
      </w:r>
      <w:r w:rsidR="002F73CC">
        <w:rPr>
          <w:rFonts w:ascii="Source Sans Pro" w:hAnsi="Source Sans Pro" w:cs="Arial"/>
          <w:bCs/>
        </w:rPr>
        <w:t>,</w:t>
      </w:r>
      <w:r w:rsidR="00F833A9" w:rsidRPr="009455E7">
        <w:rPr>
          <w:rFonts w:ascii="Source Sans Pro" w:hAnsi="Source Sans Pro" w:cs="Arial"/>
          <w:bCs/>
        </w:rPr>
        <w:t xml:space="preserve"> através do </w:t>
      </w:r>
      <w:r w:rsidR="008C276D" w:rsidRPr="009455E7">
        <w:rPr>
          <w:rFonts w:ascii="Source Sans Pro" w:hAnsi="Source Sans Pro" w:cs="Arial"/>
          <w:bCs/>
        </w:rPr>
        <w:t>Rendimento Social de Inclu</w:t>
      </w:r>
      <w:r w:rsidR="00F833A9" w:rsidRPr="009455E7">
        <w:rPr>
          <w:rFonts w:ascii="Source Sans Pro" w:hAnsi="Source Sans Pro" w:cs="Arial"/>
          <w:bCs/>
        </w:rPr>
        <w:t>são</w:t>
      </w:r>
      <w:r w:rsidR="008C276D" w:rsidRPr="009455E7">
        <w:rPr>
          <w:rFonts w:ascii="Source Sans Pro" w:hAnsi="Source Sans Pro" w:cs="Arial"/>
          <w:bCs/>
        </w:rPr>
        <w:t xml:space="preserve">, </w:t>
      </w:r>
      <w:r w:rsidR="00453B05" w:rsidRPr="009455E7">
        <w:rPr>
          <w:rFonts w:ascii="Source Sans Pro" w:hAnsi="Source Sans Pro" w:cs="Arial"/>
          <w:bCs/>
        </w:rPr>
        <w:t xml:space="preserve">do pagamento de estágios profissionais, formação para </w:t>
      </w:r>
      <w:r w:rsidR="008C276D" w:rsidRPr="009455E7">
        <w:rPr>
          <w:rFonts w:ascii="Source Sans Pro" w:hAnsi="Source Sans Pro" w:cs="Arial"/>
          <w:bCs/>
        </w:rPr>
        <w:t xml:space="preserve">empregabilidade e apoio à </w:t>
      </w:r>
      <w:r w:rsidR="00453B05" w:rsidRPr="009455E7">
        <w:rPr>
          <w:rFonts w:ascii="Source Sans Pro" w:hAnsi="Source Sans Pro" w:cs="Arial"/>
          <w:bCs/>
        </w:rPr>
        <w:t>reins</w:t>
      </w:r>
      <w:r w:rsidR="008C276D" w:rsidRPr="009455E7">
        <w:rPr>
          <w:rFonts w:ascii="Source Sans Pro" w:hAnsi="Source Sans Pro" w:cs="Arial"/>
          <w:bCs/>
        </w:rPr>
        <w:t>erção socioprofissional</w:t>
      </w:r>
      <w:r w:rsidR="00453B05" w:rsidRPr="009455E7">
        <w:rPr>
          <w:rFonts w:ascii="Source Sans Pro" w:hAnsi="Source Sans Pro" w:cs="Arial"/>
          <w:bCs/>
        </w:rPr>
        <w:t>.</w:t>
      </w:r>
    </w:p>
    <w:p w:rsidR="006019D4" w:rsidRPr="009455E7" w:rsidRDefault="006019D4" w:rsidP="0080619F">
      <w:pPr>
        <w:pStyle w:val="PargrafodaLista"/>
        <w:numPr>
          <w:ilvl w:val="0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 xml:space="preserve">As </w:t>
      </w:r>
      <w:r w:rsidR="00F10888" w:rsidRPr="009455E7">
        <w:rPr>
          <w:rFonts w:ascii="Source Sans Pro" w:hAnsi="Source Sans Pro" w:cs="Arial"/>
          <w:bCs/>
        </w:rPr>
        <w:t>“</w:t>
      </w:r>
      <w:r w:rsidRPr="009455E7">
        <w:rPr>
          <w:rFonts w:ascii="Source Sans Pro" w:hAnsi="Source Sans Pro" w:cs="Arial"/>
          <w:bCs/>
        </w:rPr>
        <w:t>Transf</w:t>
      </w:r>
      <w:r w:rsidR="00F10888" w:rsidRPr="009455E7">
        <w:rPr>
          <w:rFonts w:ascii="Source Sans Pro" w:hAnsi="Source Sans Pro" w:cs="Arial"/>
          <w:bCs/>
        </w:rPr>
        <w:t>erências C</w:t>
      </w:r>
      <w:r w:rsidRPr="009455E7">
        <w:rPr>
          <w:rFonts w:ascii="Source Sans Pro" w:hAnsi="Source Sans Pro" w:cs="Arial"/>
          <w:bCs/>
        </w:rPr>
        <w:t>orrentes</w:t>
      </w:r>
      <w:r w:rsidR="00F10888" w:rsidRPr="009455E7">
        <w:rPr>
          <w:rFonts w:ascii="Source Sans Pro" w:hAnsi="Source Sans Pro" w:cs="Arial"/>
          <w:bCs/>
        </w:rPr>
        <w:t>”</w:t>
      </w:r>
      <w:r w:rsidRPr="009455E7">
        <w:rPr>
          <w:rFonts w:ascii="Source Sans Pro" w:hAnsi="Source Sans Pro" w:cs="Arial"/>
          <w:bCs/>
        </w:rPr>
        <w:t xml:space="preserve"> tiveram um</w:t>
      </w:r>
      <w:r w:rsidR="00D22FDD" w:rsidRPr="009455E7">
        <w:rPr>
          <w:rFonts w:ascii="Source Sans Pro" w:hAnsi="Source Sans Pro" w:cs="Arial"/>
          <w:bCs/>
        </w:rPr>
        <w:t>a</w:t>
      </w:r>
      <w:r w:rsidRPr="009455E7">
        <w:rPr>
          <w:rFonts w:ascii="Source Sans Pro" w:hAnsi="Source Sans Pro" w:cs="Arial"/>
          <w:bCs/>
        </w:rPr>
        <w:t xml:space="preserve"> </w:t>
      </w:r>
      <w:r w:rsidR="00453B05" w:rsidRPr="009455E7">
        <w:rPr>
          <w:rFonts w:ascii="Source Sans Pro" w:hAnsi="Source Sans Pro" w:cs="Arial"/>
          <w:bCs/>
        </w:rPr>
        <w:t>diminuição de</w:t>
      </w:r>
      <w:r w:rsidR="00E94833" w:rsidRPr="009455E7">
        <w:rPr>
          <w:rFonts w:ascii="Source Sans Pro" w:hAnsi="Source Sans Pro" w:cs="Arial"/>
          <w:bCs/>
        </w:rPr>
        <w:t xml:space="preserve"> </w:t>
      </w:r>
      <w:r w:rsidR="0080619F" w:rsidRPr="009455E7">
        <w:rPr>
          <w:rFonts w:ascii="Source Sans Pro" w:hAnsi="Source Sans Pro" w:cs="Arial"/>
          <w:bCs/>
        </w:rPr>
        <w:t>7,0% (-233,3</w:t>
      </w:r>
      <w:r w:rsidR="00AC71D6">
        <w:rPr>
          <w:rFonts w:ascii="Source Sans Pro" w:hAnsi="Source Sans Pro" w:cs="Arial"/>
          <w:bCs/>
        </w:rPr>
        <w:t xml:space="preserve"> </w:t>
      </w:r>
      <w:r w:rsidRPr="009455E7">
        <w:rPr>
          <w:rFonts w:ascii="Source Sans Pro" w:hAnsi="Source Sans Pro" w:cs="Arial"/>
          <w:bCs/>
        </w:rPr>
        <w:t>milhões de CVE), comparado com o mesmo período do ano transato, justificado</w:t>
      </w:r>
      <w:r w:rsidR="003524D8" w:rsidRPr="009455E7">
        <w:rPr>
          <w:rFonts w:ascii="Source Sans Pro" w:hAnsi="Source Sans Pro" w:cs="Arial"/>
          <w:bCs/>
        </w:rPr>
        <w:t>,</w:t>
      </w:r>
      <w:r w:rsidRPr="009455E7">
        <w:rPr>
          <w:rFonts w:ascii="Source Sans Pro" w:hAnsi="Source Sans Pro" w:cs="Arial"/>
          <w:bCs/>
        </w:rPr>
        <w:t xml:space="preserve"> </w:t>
      </w:r>
      <w:r w:rsidR="00E94833" w:rsidRPr="009455E7">
        <w:rPr>
          <w:rFonts w:ascii="Source Sans Pro" w:hAnsi="Source Sans Pro" w:cs="Arial"/>
          <w:bCs/>
        </w:rPr>
        <w:t>essencialmente</w:t>
      </w:r>
      <w:r w:rsidR="00453B05" w:rsidRPr="009455E7">
        <w:rPr>
          <w:rFonts w:ascii="Source Sans Pro" w:hAnsi="Source Sans Pro" w:cs="Arial"/>
          <w:bCs/>
        </w:rPr>
        <w:t xml:space="preserve">, pela diminuição das transferências </w:t>
      </w:r>
      <w:r w:rsidR="00FD0FC4" w:rsidRPr="009455E7">
        <w:rPr>
          <w:rFonts w:ascii="Source Sans Pro" w:hAnsi="Source Sans Pro" w:cs="Arial"/>
          <w:bCs/>
        </w:rPr>
        <w:t xml:space="preserve">em </w:t>
      </w:r>
      <w:r w:rsidR="00453B05" w:rsidRPr="009455E7">
        <w:rPr>
          <w:rFonts w:ascii="Source Sans Pro" w:hAnsi="Source Sans Pro" w:cs="Arial"/>
          <w:bCs/>
        </w:rPr>
        <w:t xml:space="preserve">face ao período homólogo, aos municípios </w:t>
      </w:r>
      <w:r w:rsidR="00F833A9" w:rsidRPr="009455E7">
        <w:rPr>
          <w:rFonts w:ascii="Source Sans Pro" w:hAnsi="Source Sans Pro" w:cs="Arial"/>
          <w:bCs/>
        </w:rPr>
        <w:t>na sequência da diminuição da arrecadação de receitas consignadas, com destaque a Contribuição Turística gerida pelo Fundo do Turismo</w:t>
      </w:r>
      <w:r w:rsidR="00453B05" w:rsidRPr="009455E7">
        <w:rPr>
          <w:rFonts w:ascii="Source Sans Pro" w:hAnsi="Source Sans Pro" w:cs="Arial"/>
          <w:bCs/>
        </w:rPr>
        <w:t xml:space="preserve">. </w:t>
      </w:r>
    </w:p>
    <w:p w:rsidR="00D22FDD" w:rsidRPr="009455E7" w:rsidRDefault="00F833A9" w:rsidP="006C7F67">
      <w:pPr>
        <w:pStyle w:val="PargrafodaLista"/>
        <w:numPr>
          <w:ilvl w:val="0"/>
          <w:numId w:val="28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 xml:space="preserve">As </w:t>
      </w:r>
      <w:r w:rsidR="00F10888" w:rsidRPr="009455E7">
        <w:rPr>
          <w:rFonts w:ascii="Source Sans Pro" w:hAnsi="Source Sans Pro" w:cs="Arial"/>
          <w:bCs/>
        </w:rPr>
        <w:t>“</w:t>
      </w:r>
      <w:r w:rsidR="00D22FDD" w:rsidRPr="009455E7">
        <w:rPr>
          <w:rFonts w:ascii="Source Sans Pro" w:hAnsi="Source Sans Pro" w:cs="Arial"/>
          <w:bCs/>
        </w:rPr>
        <w:t>Outras Despesas Correntes</w:t>
      </w:r>
      <w:r w:rsidR="00F10888" w:rsidRPr="009455E7">
        <w:rPr>
          <w:rFonts w:ascii="Source Sans Pro" w:hAnsi="Source Sans Pro" w:cs="Arial"/>
          <w:bCs/>
        </w:rPr>
        <w:t>”</w:t>
      </w:r>
      <w:r w:rsidR="00D22FDD" w:rsidRPr="009455E7">
        <w:rPr>
          <w:rFonts w:ascii="Source Sans Pro" w:hAnsi="Source Sans Pro" w:cs="Arial"/>
          <w:bCs/>
        </w:rPr>
        <w:t xml:space="preserve"> evidenciaram uma diminuição de </w:t>
      </w:r>
      <w:r w:rsidR="006C7F67" w:rsidRPr="009455E7">
        <w:rPr>
          <w:rFonts w:ascii="Source Sans Pro" w:hAnsi="Source Sans Pro" w:cs="Arial"/>
          <w:bCs/>
        </w:rPr>
        <w:t>8,0</w:t>
      </w:r>
      <w:r w:rsidR="001673AE" w:rsidRPr="009455E7">
        <w:rPr>
          <w:rFonts w:ascii="Source Sans Pro" w:hAnsi="Source Sans Pro" w:cs="Arial"/>
          <w:bCs/>
        </w:rPr>
        <w:t>% (-</w:t>
      </w:r>
      <w:r w:rsidR="006C7F67" w:rsidRPr="009455E7">
        <w:rPr>
          <w:rFonts w:ascii="Source Sans Pro" w:hAnsi="Source Sans Pro" w:cs="Arial"/>
          <w:bCs/>
        </w:rPr>
        <w:t xml:space="preserve">77,4 </w:t>
      </w:r>
      <w:r w:rsidR="00D22FDD" w:rsidRPr="009455E7">
        <w:rPr>
          <w:rFonts w:ascii="Source Sans Pro" w:hAnsi="Source Sans Pro" w:cs="Arial"/>
          <w:bCs/>
        </w:rPr>
        <w:t xml:space="preserve">milhões de CVE), comparativamente ao mesmo período </w:t>
      </w:r>
      <w:r w:rsidR="00686652" w:rsidRPr="009455E7">
        <w:rPr>
          <w:rFonts w:ascii="Source Sans Pro" w:hAnsi="Source Sans Pro" w:cs="Arial"/>
          <w:bCs/>
        </w:rPr>
        <w:t xml:space="preserve">de 2020, decorrente da reprogramação e das medidas de contenção nos termos definidos na Resolução n.º 8/2021, de 2 de fevereiro. </w:t>
      </w:r>
      <w:r w:rsidR="00AC477E" w:rsidRPr="009455E7">
        <w:rPr>
          <w:rFonts w:ascii="Source Sans Pro" w:hAnsi="Source Sans Pro" w:cs="Arial"/>
          <w:bCs/>
        </w:rPr>
        <w:t xml:space="preserve"> </w:t>
      </w:r>
    </w:p>
    <w:p w:rsidR="00A47FAB" w:rsidRPr="009455E7" w:rsidRDefault="00A47FAB" w:rsidP="00A47FAB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24"/>
          <w:szCs w:val="24"/>
        </w:rPr>
      </w:pPr>
      <w:r w:rsidRPr="009455E7">
        <w:rPr>
          <w:rFonts w:ascii="Source Sans Pro" w:eastAsia="Times New Roman" w:hAnsi="Source Sans Pro" w:cs="Arial"/>
          <w:bCs/>
          <w:sz w:val="24"/>
          <w:szCs w:val="24"/>
        </w:rPr>
        <w:lastRenderedPageBreak/>
        <w:t>O valor da</w:t>
      </w:r>
      <w:r w:rsidR="000971B9">
        <w:rPr>
          <w:rFonts w:ascii="Source Sans Pro" w:eastAsia="Times New Roman" w:hAnsi="Source Sans Pro" w:cs="Arial"/>
          <w:bCs/>
          <w:sz w:val="24"/>
          <w:szCs w:val="24"/>
        </w:rPr>
        <w:t xml:space="preserve"> despesa por regularizar, em ju</w:t>
      </w:r>
      <w:r w:rsidR="00AC71D6">
        <w:rPr>
          <w:rFonts w:ascii="Source Sans Pro" w:eastAsia="Times New Roman" w:hAnsi="Source Sans Pro" w:cs="Arial"/>
          <w:bCs/>
          <w:sz w:val="24"/>
          <w:szCs w:val="24"/>
        </w:rPr>
        <w:t>l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ho, situou-se em cerca de </w:t>
      </w:r>
      <w:r w:rsidR="00F634ED">
        <w:rPr>
          <w:rFonts w:ascii="Source Sans Pro" w:eastAsia="Times New Roman" w:hAnsi="Source Sans Pro" w:cs="Arial"/>
          <w:bCs/>
          <w:sz w:val="24"/>
          <w:szCs w:val="24"/>
        </w:rPr>
        <w:t>549,2</w:t>
      </w:r>
      <w:r w:rsidR="00AA628F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milhões de CVE referente </w:t>
      </w:r>
      <w:r w:rsidR="00B1642F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aos </w:t>
      </w:r>
      <w:r w:rsidR="00840BD3">
        <w:rPr>
          <w:rFonts w:ascii="Source Sans Pro" w:eastAsia="Times New Roman" w:hAnsi="Source Sans Pro" w:cs="Arial"/>
          <w:bCs/>
          <w:sz w:val="24"/>
          <w:szCs w:val="24"/>
        </w:rPr>
        <w:t>duodécimos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efetuados aos Órgãos de Soberania</w:t>
      </w:r>
      <w:r w:rsidR="00B1642F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e </w:t>
      </w:r>
      <w:r w:rsidR="00F833A9" w:rsidRPr="009455E7">
        <w:rPr>
          <w:rFonts w:ascii="Source Sans Pro" w:eastAsia="Times New Roman" w:hAnsi="Source Sans Pro" w:cs="Arial"/>
          <w:bCs/>
          <w:sz w:val="24"/>
          <w:szCs w:val="24"/>
        </w:rPr>
        <w:t>à</w:t>
      </w:r>
      <w:r w:rsidR="00840BD3">
        <w:rPr>
          <w:rFonts w:ascii="Source Sans Pro" w:eastAsia="Times New Roman" w:hAnsi="Source Sans Pro" w:cs="Arial"/>
          <w:bCs/>
          <w:sz w:val="24"/>
          <w:szCs w:val="24"/>
        </w:rPr>
        <w:t>s Embaixadas, a serem regularizados aquando da prestação de contas.</w:t>
      </w:r>
    </w:p>
    <w:p w:rsidR="00107A2E" w:rsidRPr="009455E7" w:rsidRDefault="00107A2E" w:rsidP="00A47FAB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4"/>
          <w:szCs w:val="4"/>
        </w:rPr>
      </w:pPr>
    </w:p>
    <w:p w:rsidR="00D371ED" w:rsidRPr="009455E7" w:rsidRDefault="00D371ED" w:rsidP="00D371ED">
      <w:pPr>
        <w:pStyle w:val="PargrafodaLista"/>
        <w:autoSpaceDE w:val="0"/>
        <w:spacing w:before="120" w:line="360" w:lineRule="auto"/>
        <w:ind w:left="426"/>
        <w:jc w:val="both"/>
        <w:rPr>
          <w:rFonts w:ascii="Source Sans Pro" w:hAnsi="Source Sans Pro" w:cs="Arial"/>
          <w:bCs/>
          <w:sz w:val="10"/>
          <w:szCs w:val="10"/>
        </w:rPr>
      </w:pPr>
    </w:p>
    <w:p w:rsidR="009662CB" w:rsidRPr="009455E7" w:rsidRDefault="009662CB" w:rsidP="00DF3DC8">
      <w:pPr>
        <w:pStyle w:val="PargrafodaLista"/>
        <w:numPr>
          <w:ilvl w:val="2"/>
          <w:numId w:val="3"/>
        </w:numPr>
        <w:tabs>
          <w:tab w:val="left" w:pos="0"/>
          <w:tab w:val="left" w:pos="284"/>
        </w:tabs>
        <w:suppressAutoHyphens w:val="0"/>
        <w:autoSpaceDN/>
        <w:ind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bookmarkStart w:id="18" w:name="_Toc72504430"/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Ativos Não Financeiros</w:t>
      </w:r>
      <w:bookmarkEnd w:id="18"/>
    </w:p>
    <w:p w:rsidR="009662CB" w:rsidRPr="009455E7" w:rsidRDefault="009662CB" w:rsidP="009662CB">
      <w:pPr>
        <w:pStyle w:val="PargrafodaLista"/>
        <w:tabs>
          <w:tab w:val="left" w:pos="0"/>
          <w:tab w:val="left" w:pos="284"/>
        </w:tabs>
        <w:suppressAutoHyphens w:val="0"/>
        <w:autoSpaceDN/>
        <w:ind w:left="1214"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</w:p>
    <w:p w:rsidR="00BC59C6" w:rsidRPr="009455E7" w:rsidRDefault="009662CB" w:rsidP="009662CB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24"/>
          <w:szCs w:val="24"/>
        </w:rPr>
      </w:pPr>
      <w:r w:rsidRPr="009455E7">
        <w:rPr>
          <w:rFonts w:ascii="Source Sans Pro" w:eastAsia="Times New Roman" w:hAnsi="Source Sans Pro" w:cs="Arial"/>
          <w:bCs/>
          <w:sz w:val="24"/>
          <w:szCs w:val="24"/>
        </w:rPr>
        <w:t>A exec</w:t>
      </w:r>
      <w:r w:rsidR="00840BD3">
        <w:rPr>
          <w:rFonts w:ascii="Source Sans Pro" w:eastAsia="Times New Roman" w:hAnsi="Source Sans Pro" w:cs="Arial"/>
          <w:bCs/>
          <w:sz w:val="24"/>
          <w:szCs w:val="24"/>
        </w:rPr>
        <w:t>ução dos Ativos Não Financeiros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ascendeu ao montante de </w:t>
      </w:r>
      <w:r w:rsidR="00946922" w:rsidRPr="009455E7">
        <w:rPr>
          <w:rFonts w:ascii="Source Sans Pro" w:eastAsia="Times New Roman" w:hAnsi="Source Sans Pro" w:cs="Arial"/>
          <w:bCs/>
          <w:sz w:val="24"/>
          <w:szCs w:val="24"/>
        </w:rPr>
        <w:t>1</w:t>
      </w:r>
      <w:r w:rsidR="00142D7A" w:rsidRPr="009455E7">
        <w:rPr>
          <w:rFonts w:ascii="Source Sans Pro" w:eastAsia="Times New Roman" w:hAnsi="Source Sans Pro" w:cs="Arial"/>
          <w:bCs/>
          <w:sz w:val="24"/>
          <w:szCs w:val="24"/>
        </w:rPr>
        <w:t>.</w:t>
      </w:r>
      <w:r w:rsidR="00946922" w:rsidRPr="009455E7">
        <w:rPr>
          <w:rFonts w:ascii="Source Sans Pro" w:eastAsia="Times New Roman" w:hAnsi="Source Sans Pro" w:cs="Arial"/>
          <w:bCs/>
          <w:sz w:val="24"/>
          <w:szCs w:val="24"/>
        </w:rPr>
        <w:t>201</w:t>
      </w:r>
      <w:r w:rsidR="00D71FC6">
        <w:rPr>
          <w:rFonts w:ascii="Source Sans Pro" w:eastAsia="Times New Roman" w:hAnsi="Source Sans Pro" w:cs="Arial"/>
          <w:bCs/>
          <w:sz w:val="24"/>
          <w:szCs w:val="24"/>
        </w:rPr>
        <w:t>,2</w:t>
      </w:r>
      <w:r w:rsidR="00946922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milhões de CVE, equivalente a </w:t>
      </w:r>
      <w:r w:rsidR="00E7270D">
        <w:rPr>
          <w:rFonts w:ascii="Source Sans Pro" w:eastAsia="Times New Roman" w:hAnsi="Source Sans Pro" w:cs="Arial"/>
          <w:bCs/>
          <w:sz w:val="24"/>
          <w:szCs w:val="24"/>
        </w:rPr>
        <w:t>10,6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% do total do orçamento, um aumento de </w:t>
      </w:r>
      <w:r w:rsidR="00946922" w:rsidRPr="009455E7">
        <w:rPr>
          <w:rFonts w:ascii="Source Sans Pro" w:eastAsia="Times New Roman" w:hAnsi="Source Sans Pro" w:cs="Arial"/>
          <w:bCs/>
          <w:sz w:val="24"/>
          <w:szCs w:val="24"/>
        </w:rPr>
        <w:t>14,4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>%</w:t>
      </w:r>
      <w:r w:rsidR="00840BD3">
        <w:rPr>
          <w:rFonts w:ascii="Source Sans Pro" w:eastAsia="Times New Roman" w:hAnsi="Source Sans Pro" w:cs="Arial"/>
          <w:bCs/>
          <w:sz w:val="24"/>
          <w:szCs w:val="24"/>
        </w:rPr>
        <w:t xml:space="preserve"> em face ao homólogo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>, representando, em termos absolu</w:t>
      </w:r>
      <w:r w:rsidR="001C3F32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tos, uma variação positiva de </w:t>
      </w:r>
      <w:r w:rsidR="00946922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151,6 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>milhões de CVE comparativamente à execução de 2020</w:t>
      </w:r>
      <w:r w:rsidR="00B63AFE" w:rsidRPr="009455E7">
        <w:rPr>
          <w:rFonts w:ascii="Source Sans Pro" w:eastAsia="Times New Roman" w:hAnsi="Source Sans Pro" w:cs="Arial"/>
          <w:bCs/>
          <w:sz w:val="24"/>
          <w:szCs w:val="24"/>
        </w:rPr>
        <w:t>.</w:t>
      </w:r>
      <w:r w:rsidR="00690B31" w:rsidRPr="009455E7">
        <w:t xml:space="preserve"> </w:t>
      </w:r>
      <w:r w:rsidR="00690B31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O montante executado decorre, essencialmente, dos seguintes projetos: “Reforço ao sector da educação” com uma execução de </w:t>
      </w:r>
      <w:r w:rsidR="008D0857" w:rsidRPr="009455E7">
        <w:rPr>
          <w:rFonts w:ascii="Source Sans Pro" w:eastAsia="Times New Roman" w:hAnsi="Source Sans Pro" w:cs="Arial"/>
          <w:bCs/>
          <w:sz w:val="24"/>
          <w:szCs w:val="24"/>
        </w:rPr>
        <w:t>95</w:t>
      </w:r>
      <w:r w:rsidR="006E037E" w:rsidRPr="009455E7">
        <w:rPr>
          <w:rFonts w:ascii="Source Sans Pro" w:eastAsia="Times New Roman" w:hAnsi="Source Sans Pro" w:cs="Arial"/>
          <w:bCs/>
          <w:sz w:val="24"/>
          <w:szCs w:val="24"/>
        </w:rPr>
        <w:t>,1</w:t>
      </w:r>
      <w:r w:rsidR="00690B31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milhões de CVE; “Redução de Perdas em Eletricidade e Melhoria de Qualidade de Energia” com uma execução de </w:t>
      </w:r>
      <w:r w:rsidR="00574A7C" w:rsidRPr="009455E7">
        <w:rPr>
          <w:rFonts w:ascii="Source Sans Pro" w:eastAsia="Times New Roman" w:hAnsi="Source Sans Pro" w:cs="Arial"/>
          <w:bCs/>
          <w:sz w:val="24"/>
          <w:szCs w:val="24"/>
        </w:rPr>
        <w:t>87,4</w:t>
      </w:r>
      <w:r w:rsidR="00690B31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milhões de CVE; “Reabilitação de estradas” com uma execução de </w:t>
      </w:r>
      <w:r w:rsidR="00B30615" w:rsidRPr="009455E7">
        <w:rPr>
          <w:rFonts w:ascii="Source Sans Pro" w:eastAsia="Times New Roman" w:hAnsi="Source Sans Pro" w:cs="Arial"/>
          <w:bCs/>
          <w:sz w:val="24"/>
          <w:szCs w:val="24"/>
        </w:rPr>
        <w:t>223,2</w:t>
      </w:r>
      <w:r w:rsidR="00690B31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milhões de CVE;  “</w:t>
      </w:r>
      <w:r w:rsidR="00AC4CCF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Construção Centro </w:t>
      </w:r>
      <w:r w:rsidR="00D71FC6" w:rsidRPr="009455E7">
        <w:rPr>
          <w:rFonts w:ascii="Source Sans Pro" w:eastAsia="Times New Roman" w:hAnsi="Source Sans Pro" w:cs="Arial"/>
          <w:bCs/>
          <w:sz w:val="24"/>
          <w:szCs w:val="24"/>
        </w:rPr>
        <w:t>Ambulatório</w:t>
      </w:r>
      <w:r w:rsidR="00D71FC6">
        <w:rPr>
          <w:rFonts w:ascii="Source Sans Pro" w:eastAsia="Times New Roman" w:hAnsi="Source Sans Pro" w:cs="Arial"/>
          <w:bCs/>
          <w:sz w:val="24"/>
          <w:szCs w:val="24"/>
        </w:rPr>
        <w:t xml:space="preserve"> do</w:t>
      </w:r>
      <w:r w:rsidR="00AC4CCF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Hospital B.</w:t>
      </w:r>
      <w:r w:rsidR="00D71FC6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="00AC4CCF" w:rsidRPr="009455E7">
        <w:rPr>
          <w:rFonts w:ascii="Source Sans Pro" w:eastAsia="Times New Roman" w:hAnsi="Source Sans Pro" w:cs="Arial"/>
          <w:bCs/>
          <w:sz w:val="24"/>
          <w:szCs w:val="24"/>
        </w:rPr>
        <w:t>Sousa” com uma execução de 73,4</w:t>
      </w:r>
      <w:r w:rsidR="00690B31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milhões de CVE; e “Programa de Promoção de Oportunidades Socioeconómicas e Rurais (</w:t>
      </w:r>
      <w:proofErr w:type="spellStart"/>
      <w:r w:rsidR="00690B31" w:rsidRPr="009455E7">
        <w:rPr>
          <w:rFonts w:ascii="Source Sans Pro" w:eastAsia="Times New Roman" w:hAnsi="Source Sans Pro" w:cs="Arial"/>
          <w:bCs/>
          <w:sz w:val="24"/>
          <w:szCs w:val="24"/>
        </w:rPr>
        <w:t>Poser</w:t>
      </w:r>
      <w:proofErr w:type="spellEnd"/>
      <w:r w:rsidR="00690B31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- Clima)” com uma execução de </w:t>
      </w:r>
      <w:r w:rsidR="00E61D69" w:rsidRPr="009455E7">
        <w:rPr>
          <w:rFonts w:ascii="Source Sans Pro" w:eastAsia="Times New Roman" w:hAnsi="Source Sans Pro" w:cs="Arial"/>
          <w:bCs/>
          <w:sz w:val="24"/>
          <w:szCs w:val="24"/>
        </w:rPr>
        <w:t>59,6</w:t>
      </w:r>
      <w:r w:rsidR="00690B31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milhões de CVE.</w:t>
      </w:r>
    </w:p>
    <w:p w:rsidR="006019D4" w:rsidRPr="009455E7" w:rsidRDefault="006019D4" w:rsidP="006019D4">
      <w:pPr>
        <w:pStyle w:val="PargrafodaLista"/>
        <w:tabs>
          <w:tab w:val="left" w:pos="0"/>
          <w:tab w:val="left" w:pos="284"/>
        </w:tabs>
        <w:suppressAutoHyphens w:val="0"/>
        <w:autoSpaceDN/>
        <w:ind w:left="858"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</w:p>
    <w:p w:rsidR="00747A95" w:rsidRPr="009455E7" w:rsidRDefault="003A243E" w:rsidP="00DF3DC8">
      <w:pPr>
        <w:pStyle w:val="PargrafodaLista"/>
        <w:numPr>
          <w:ilvl w:val="1"/>
          <w:numId w:val="3"/>
        </w:numPr>
        <w:tabs>
          <w:tab w:val="left" w:pos="0"/>
          <w:tab w:val="left" w:pos="284"/>
        </w:tabs>
        <w:suppressAutoHyphens w:val="0"/>
        <w:autoSpaceDN/>
        <w:ind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 xml:space="preserve">  </w:t>
      </w:r>
      <w:bookmarkStart w:id="19" w:name="_Toc72504431"/>
      <w:r w:rsidR="00747A95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Por Tipo de Financiamento</w:t>
      </w:r>
      <w:bookmarkEnd w:id="19"/>
    </w:p>
    <w:p w:rsidR="00E142E1" w:rsidRPr="009455E7" w:rsidRDefault="00E142E1" w:rsidP="00E142E1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10"/>
          <w:szCs w:val="10"/>
        </w:rPr>
      </w:pPr>
    </w:p>
    <w:p w:rsidR="00E142E1" w:rsidRPr="009455E7" w:rsidRDefault="00E142E1" w:rsidP="00E142E1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24"/>
          <w:szCs w:val="24"/>
        </w:rPr>
      </w:pPr>
      <w:r w:rsidRPr="009455E7">
        <w:rPr>
          <w:rFonts w:ascii="Source Sans Pro" w:eastAsia="Times New Roman" w:hAnsi="Source Sans Pro" w:cs="Arial"/>
          <w:bCs/>
          <w:sz w:val="24"/>
          <w:szCs w:val="24"/>
        </w:rPr>
        <w:t>No que</w:t>
      </w:r>
      <w:r w:rsidR="0044733B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tange ao financiamento, nota-se que </w:t>
      </w:r>
      <w:r w:rsidR="00657785">
        <w:rPr>
          <w:rFonts w:ascii="Source Sans Pro" w:eastAsia="Times New Roman" w:hAnsi="Source Sans Pro" w:cs="Arial"/>
          <w:bCs/>
          <w:sz w:val="24"/>
          <w:szCs w:val="24"/>
        </w:rPr>
        <w:t>91,6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>% das despesa</w:t>
      </w:r>
      <w:r w:rsidR="007C65DA" w:rsidRPr="009455E7">
        <w:rPr>
          <w:rFonts w:ascii="Source Sans Pro" w:eastAsia="Times New Roman" w:hAnsi="Source Sans Pro" w:cs="Arial"/>
          <w:bCs/>
          <w:sz w:val="24"/>
          <w:szCs w:val="24"/>
        </w:rPr>
        <w:t>s</w:t>
      </w:r>
      <w:r w:rsidR="00D371ED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totais (despesas e ativos não financeiros)</w:t>
      </w:r>
      <w:r w:rsidR="007C65DA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="00F833A9" w:rsidRPr="009455E7">
        <w:rPr>
          <w:rFonts w:ascii="Source Sans Pro" w:eastAsia="Times New Roman" w:hAnsi="Source Sans Pro" w:cs="Arial"/>
          <w:bCs/>
          <w:sz w:val="24"/>
          <w:szCs w:val="24"/>
        </w:rPr>
        <w:t>foram</w:t>
      </w:r>
      <w:r w:rsidR="007C65DA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financiadas </w:t>
      </w:r>
      <w:r w:rsidR="00F833A9" w:rsidRPr="009455E7">
        <w:rPr>
          <w:rFonts w:ascii="Source Sans Pro" w:eastAsia="Times New Roman" w:hAnsi="Source Sans Pro" w:cs="Arial"/>
          <w:bCs/>
          <w:sz w:val="24"/>
          <w:szCs w:val="24"/>
        </w:rPr>
        <w:t>com</w:t>
      </w:r>
      <w:r w:rsidR="007C65DA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recursos </w:t>
      </w:r>
      <w:r w:rsidR="00F833A9" w:rsidRPr="009455E7">
        <w:rPr>
          <w:rFonts w:ascii="Source Sans Pro" w:eastAsia="Times New Roman" w:hAnsi="Source Sans Pro" w:cs="Arial"/>
          <w:bCs/>
          <w:sz w:val="24"/>
          <w:szCs w:val="24"/>
        </w:rPr>
        <w:t>do Tesouro</w:t>
      </w:r>
      <w:r w:rsidR="00372683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</w:t>
      </w:r>
      <w:r w:rsidR="0044733B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e </w:t>
      </w:r>
      <w:r w:rsidR="00657785">
        <w:rPr>
          <w:rFonts w:ascii="Source Sans Pro" w:eastAsia="Times New Roman" w:hAnsi="Source Sans Pro" w:cs="Arial"/>
          <w:bCs/>
          <w:sz w:val="24"/>
          <w:szCs w:val="24"/>
        </w:rPr>
        <w:t>8,4</w:t>
      </w:r>
      <w:r w:rsidR="0044733B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% </w:t>
      </w:r>
      <w:r w:rsidR="00F833A9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com </w:t>
      </w:r>
      <w:r w:rsidR="0044733B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recursos </w:t>
      </w:r>
      <w:r w:rsidR="007C65DA" w:rsidRPr="009455E7">
        <w:rPr>
          <w:rFonts w:ascii="Source Sans Pro" w:eastAsia="Times New Roman" w:hAnsi="Source Sans Pro" w:cs="Arial"/>
          <w:bCs/>
          <w:sz w:val="24"/>
          <w:szCs w:val="24"/>
        </w:rPr>
        <w:t>ex</w:t>
      </w:r>
      <w:r w:rsidR="0044733B" w:rsidRPr="009455E7">
        <w:rPr>
          <w:rFonts w:ascii="Source Sans Pro" w:eastAsia="Times New Roman" w:hAnsi="Source Sans Pro" w:cs="Arial"/>
          <w:bCs/>
          <w:sz w:val="24"/>
          <w:szCs w:val="24"/>
        </w:rPr>
        <w:t>ternos</w:t>
      </w:r>
      <w:r w:rsidRPr="009455E7">
        <w:rPr>
          <w:rFonts w:ascii="Source Sans Pro" w:eastAsia="Times New Roman" w:hAnsi="Source Sans Pro" w:cs="Arial"/>
          <w:bCs/>
          <w:sz w:val="24"/>
          <w:szCs w:val="24"/>
        </w:rPr>
        <w:t>.</w:t>
      </w:r>
    </w:p>
    <w:p w:rsidR="00107A2E" w:rsidRPr="009455E7" w:rsidRDefault="00BC59C6" w:rsidP="00107A2E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24"/>
          <w:szCs w:val="24"/>
        </w:rPr>
      </w:pPr>
      <w:r w:rsidRPr="009455E7">
        <w:rPr>
          <w:rFonts w:ascii="Source Sans Pro" w:eastAsia="Times New Roman" w:hAnsi="Source Sans Pro" w:cs="Arial"/>
          <w:bCs/>
          <w:sz w:val="2"/>
          <w:szCs w:val="2"/>
        </w:rPr>
        <w:t>.</w:t>
      </w:r>
      <w:r w:rsidR="00107A2E" w:rsidRPr="009455E7">
        <w:rPr>
          <w:rFonts w:ascii="Source Sans Pro" w:eastAsia="Times New Roman" w:hAnsi="Source Sans Pro" w:cs="Arial"/>
          <w:bCs/>
          <w:sz w:val="24"/>
          <w:szCs w:val="24"/>
        </w:rPr>
        <w:t xml:space="preserve"> Ao nível dos recursos externos:</w:t>
      </w:r>
    </w:p>
    <w:p w:rsidR="00107A2E" w:rsidRPr="009455E7" w:rsidRDefault="00107A2E" w:rsidP="00F73AB9">
      <w:pPr>
        <w:pStyle w:val="PargrafodaLista"/>
        <w:numPr>
          <w:ilvl w:val="0"/>
          <w:numId w:val="17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</w:rPr>
      </w:pPr>
      <w:r w:rsidRPr="009455E7">
        <w:rPr>
          <w:rFonts w:ascii="Source Sans Pro" w:hAnsi="Source Sans Pro" w:cs="Arial"/>
          <w:bCs/>
        </w:rPr>
        <w:t xml:space="preserve">Os donativos, na modalidade de financiamento direto aos projetos, totalizam o montante de </w:t>
      </w:r>
      <w:r w:rsidR="00F73AB9" w:rsidRPr="009455E7">
        <w:rPr>
          <w:rFonts w:ascii="Source Sans Pro" w:hAnsi="Source Sans Pro" w:cs="Arial"/>
          <w:bCs/>
        </w:rPr>
        <w:t xml:space="preserve">803 </w:t>
      </w:r>
      <w:r w:rsidRPr="009455E7">
        <w:rPr>
          <w:rFonts w:ascii="Source Sans Pro" w:hAnsi="Source Sans Pro" w:cs="Arial"/>
          <w:bCs/>
        </w:rPr>
        <w:t xml:space="preserve">milhões de CVE, equivalente a </w:t>
      </w:r>
      <w:r w:rsidR="00F73AB9" w:rsidRPr="009455E7">
        <w:rPr>
          <w:rFonts w:ascii="Source Sans Pro" w:hAnsi="Source Sans Pro" w:cs="Arial"/>
          <w:bCs/>
        </w:rPr>
        <w:t>30,7</w:t>
      </w:r>
      <w:r w:rsidRPr="009455E7">
        <w:rPr>
          <w:rFonts w:ascii="Source Sans Pro" w:hAnsi="Source Sans Pro" w:cs="Arial"/>
          <w:bCs/>
        </w:rPr>
        <w:t>% do total do financiamento externo, sendo os financiadores com maiores execuções o Luxemburgo</w:t>
      </w:r>
      <w:r w:rsidR="00657785">
        <w:rPr>
          <w:rFonts w:ascii="Source Sans Pro" w:hAnsi="Source Sans Pro" w:cs="Arial"/>
          <w:bCs/>
        </w:rPr>
        <w:t xml:space="preserve"> com </w:t>
      </w:r>
      <w:r w:rsidR="00F73AB9" w:rsidRPr="009455E7">
        <w:rPr>
          <w:rFonts w:ascii="Source Sans Pro" w:hAnsi="Source Sans Pro" w:cs="Arial"/>
          <w:bCs/>
        </w:rPr>
        <w:t>317,5</w:t>
      </w:r>
      <w:r w:rsidRPr="009455E7">
        <w:rPr>
          <w:rFonts w:ascii="Source Sans Pro" w:hAnsi="Source Sans Pro" w:cs="Arial"/>
          <w:bCs/>
        </w:rPr>
        <w:t xml:space="preserve"> milhões de CVE e Banco </w:t>
      </w:r>
      <w:r w:rsidR="00F73AB9" w:rsidRPr="009455E7">
        <w:rPr>
          <w:rFonts w:ascii="Source Sans Pro" w:hAnsi="Source Sans Pro" w:cs="Arial"/>
          <w:bCs/>
        </w:rPr>
        <w:t>Europeu de Investimento com 87,4</w:t>
      </w:r>
      <w:r w:rsidRPr="009455E7">
        <w:rPr>
          <w:rFonts w:ascii="Source Sans Pro" w:hAnsi="Source Sans Pro" w:cs="Arial"/>
          <w:bCs/>
        </w:rPr>
        <w:t xml:space="preserve"> milhões de CVE; </w:t>
      </w:r>
    </w:p>
    <w:p w:rsidR="00107A2E" w:rsidRPr="009455E7" w:rsidRDefault="00107A2E" w:rsidP="005833E5">
      <w:pPr>
        <w:pStyle w:val="PargrafodaLista"/>
        <w:numPr>
          <w:ilvl w:val="0"/>
          <w:numId w:val="17"/>
        </w:numPr>
        <w:autoSpaceDE w:val="0"/>
        <w:spacing w:before="120" w:line="360" w:lineRule="auto"/>
        <w:jc w:val="both"/>
        <w:rPr>
          <w:rFonts w:ascii="Source Sans Pro" w:hAnsi="Source Sans Pro" w:cs="Arial"/>
          <w:bCs/>
          <w:color w:val="FF0000"/>
        </w:rPr>
      </w:pPr>
      <w:r w:rsidRPr="009455E7">
        <w:rPr>
          <w:rFonts w:ascii="Source Sans Pro" w:hAnsi="Source Sans Pro" w:cs="Arial"/>
          <w:bCs/>
        </w:rPr>
        <w:t xml:space="preserve">Os empréstimos externos ascenderam a </w:t>
      </w:r>
      <w:r w:rsidR="005833E5" w:rsidRPr="009455E7">
        <w:rPr>
          <w:rFonts w:ascii="Source Sans Pro" w:hAnsi="Source Sans Pro" w:cs="Arial"/>
          <w:bCs/>
        </w:rPr>
        <w:t xml:space="preserve">1.765 </w:t>
      </w:r>
      <w:r w:rsidRPr="009455E7">
        <w:rPr>
          <w:rFonts w:ascii="Source Sans Pro" w:hAnsi="Source Sans Pro" w:cs="Arial"/>
          <w:bCs/>
        </w:rPr>
        <w:t xml:space="preserve">milhões de CVE, equivalente a </w:t>
      </w:r>
      <w:r w:rsidR="000971B9">
        <w:rPr>
          <w:rFonts w:ascii="Source Sans Pro" w:hAnsi="Source Sans Pro" w:cs="Arial"/>
          <w:bCs/>
        </w:rPr>
        <w:t>67,6</w:t>
      </w:r>
      <w:r w:rsidRPr="009455E7">
        <w:rPr>
          <w:rFonts w:ascii="Source Sans Pro" w:hAnsi="Source Sans Pro" w:cs="Arial"/>
          <w:bCs/>
        </w:rPr>
        <w:t>% do total do financiamento externo. Esses financia</w:t>
      </w:r>
      <w:r w:rsidR="005833E5" w:rsidRPr="009455E7">
        <w:rPr>
          <w:rFonts w:ascii="Source Sans Pro" w:hAnsi="Source Sans Pro" w:cs="Arial"/>
          <w:bCs/>
        </w:rPr>
        <w:t>mentos foram canalizados para 13</w:t>
      </w:r>
      <w:r w:rsidRPr="009455E7">
        <w:rPr>
          <w:rFonts w:ascii="Source Sans Pro" w:hAnsi="Source Sans Pro" w:cs="Arial"/>
          <w:bCs/>
        </w:rPr>
        <w:t xml:space="preserve"> programas, com destaque para a “Gar</w:t>
      </w:r>
      <w:r w:rsidR="00F833A9" w:rsidRPr="009455E7">
        <w:rPr>
          <w:rFonts w:ascii="Source Sans Pro" w:hAnsi="Source Sans Pro" w:cs="Arial"/>
          <w:bCs/>
        </w:rPr>
        <w:t>antia de acesso ao rendimento, a</w:t>
      </w:r>
      <w:r w:rsidRPr="009455E7">
        <w:rPr>
          <w:rFonts w:ascii="Source Sans Pro" w:hAnsi="Source Sans Pro" w:cs="Arial"/>
          <w:bCs/>
        </w:rPr>
        <w:t xml:space="preserve"> Educação</w:t>
      </w:r>
      <w:r w:rsidR="005833E5" w:rsidRPr="009455E7">
        <w:rPr>
          <w:rFonts w:ascii="Source Sans Pro" w:hAnsi="Source Sans Pro" w:cs="Arial"/>
          <w:bCs/>
        </w:rPr>
        <w:t>, aos Cuidados e à Saúde” (836,2</w:t>
      </w:r>
      <w:r w:rsidRPr="009455E7">
        <w:rPr>
          <w:rFonts w:ascii="Source Sans Pro" w:hAnsi="Source Sans Pro" w:cs="Arial"/>
          <w:bCs/>
        </w:rPr>
        <w:t xml:space="preserve"> milhões de CVE), as </w:t>
      </w:r>
      <w:r w:rsidRPr="009455E7">
        <w:rPr>
          <w:rFonts w:ascii="Source Sans Pro" w:hAnsi="Source Sans Pro" w:cs="Arial"/>
          <w:bCs/>
        </w:rPr>
        <w:lastRenderedPageBreak/>
        <w:t>“Infraest</w:t>
      </w:r>
      <w:r w:rsidR="005833E5" w:rsidRPr="009455E7">
        <w:rPr>
          <w:rFonts w:ascii="Source Sans Pro" w:hAnsi="Source Sans Pro" w:cs="Arial"/>
          <w:bCs/>
        </w:rPr>
        <w:t>ruturas Modernas e Seguras” (430,4</w:t>
      </w:r>
      <w:r w:rsidRPr="009455E7">
        <w:rPr>
          <w:rFonts w:ascii="Source Sans Pro" w:hAnsi="Source Sans Pro" w:cs="Arial"/>
          <w:bCs/>
        </w:rPr>
        <w:t xml:space="preserve"> milhões de CVE), a</w:t>
      </w:r>
      <w:r w:rsidR="00180227" w:rsidRPr="009455E7">
        <w:rPr>
          <w:rFonts w:ascii="Source Sans Pro" w:hAnsi="Source Sans Pro" w:cs="Arial"/>
          <w:bCs/>
        </w:rPr>
        <w:t xml:space="preserve"> “Educação de Excelência” (151,1</w:t>
      </w:r>
      <w:r w:rsidRPr="009455E7">
        <w:rPr>
          <w:rFonts w:ascii="Source Sans Pro" w:hAnsi="Source Sans Pro" w:cs="Arial"/>
          <w:bCs/>
        </w:rPr>
        <w:t xml:space="preserve"> milhõe</w:t>
      </w:r>
      <w:r w:rsidR="00180227" w:rsidRPr="009455E7">
        <w:rPr>
          <w:rFonts w:ascii="Source Sans Pro" w:hAnsi="Source Sans Pro" w:cs="Arial"/>
          <w:bCs/>
        </w:rPr>
        <w:t>s de CVE) e a “Transformação da Agricultura</w:t>
      </w:r>
      <w:r w:rsidRPr="009455E7">
        <w:rPr>
          <w:rFonts w:ascii="Source Sans Pro" w:hAnsi="Source Sans Pro" w:cs="Arial"/>
          <w:bCs/>
        </w:rPr>
        <w:t>” (</w:t>
      </w:r>
      <w:r w:rsidR="00180227" w:rsidRPr="009455E7">
        <w:rPr>
          <w:rFonts w:ascii="Source Sans Pro" w:hAnsi="Source Sans Pro" w:cs="Arial"/>
          <w:bCs/>
        </w:rPr>
        <w:t>89,7</w:t>
      </w:r>
      <w:r w:rsidRPr="009455E7">
        <w:rPr>
          <w:rFonts w:ascii="Source Sans Pro" w:hAnsi="Source Sans Pro" w:cs="Arial"/>
          <w:bCs/>
        </w:rPr>
        <w:t xml:space="preserve"> milhões de CVE).</w:t>
      </w:r>
    </w:p>
    <w:p w:rsidR="00BC59C6" w:rsidRPr="009455E7" w:rsidRDefault="00BC59C6" w:rsidP="00E142E1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2"/>
          <w:szCs w:val="2"/>
        </w:rPr>
      </w:pPr>
    </w:p>
    <w:p w:rsidR="005B6D1D" w:rsidRPr="009455E7" w:rsidRDefault="005B6D1D" w:rsidP="00E142E1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2"/>
          <w:szCs w:val="2"/>
        </w:rPr>
      </w:pPr>
    </w:p>
    <w:p w:rsidR="005B6D1D" w:rsidRPr="009455E7" w:rsidRDefault="005B6D1D" w:rsidP="00E142E1">
      <w:pPr>
        <w:suppressAutoHyphens/>
        <w:autoSpaceDE w:val="0"/>
        <w:autoSpaceDN w:val="0"/>
        <w:spacing w:before="120" w:after="0" w:line="360" w:lineRule="auto"/>
        <w:jc w:val="both"/>
        <w:textAlignment w:val="baseline"/>
        <w:rPr>
          <w:rFonts w:ascii="Source Sans Pro" w:eastAsia="Times New Roman" w:hAnsi="Source Sans Pro" w:cs="Arial"/>
          <w:bCs/>
          <w:sz w:val="2"/>
          <w:szCs w:val="2"/>
        </w:rPr>
      </w:pPr>
    </w:p>
    <w:p w:rsidR="00B62B03" w:rsidRPr="009455E7" w:rsidRDefault="00F558D8" w:rsidP="00BC59C6">
      <w:pPr>
        <w:pStyle w:val="PargrafodaLista"/>
        <w:tabs>
          <w:tab w:val="left" w:pos="9072"/>
        </w:tabs>
        <w:spacing w:line="360" w:lineRule="auto"/>
        <w:ind w:left="153" w:right="140"/>
        <w:jc w:val="center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Quadro 4 - Evolução das Despesa</w:t>
      </w:r>
      <w:r w:rsidR="00BC59C6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s Totais por Tipo de Financiamento</w:t>
      </w:r>
    </w:p>
    <w:p w:rsidR="00E61D69" w:rsidRPr="009455E7" w:rsidRDefault="000911F7" w:rsidP="00BC59C6">
      <w:pPr>
        <w:pStyle w:val="PargrafodaLista"/>
        <w:tabs>
          <w:tab w:val="left" w:pos="9072"/>
        </w:tabs>
        <w:spacing w:line="360" w:lineRule="auto"/>
        <w:ind w:left="153" w:right="140"/>
        <w:jc w:val="center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0911F7">
        <w:rPr>
          <w:noProof/>
          <w:lang w:eastAsia="pt-PT"/>
        </w:rPr>
        <w:drawing>
          <wp:inline distT="0" distB="0" distL="0" distR="0">
            <wp:extent cx="4079240" cy="1974850"/>
            <wp:effectExtent l="0" t="0" r="0" b="635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391" cy="19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C6" w:rsidRPr="009455E7" w:rsidRDefault="00840BD3" w:rsidP="00BC59C6">
      <w:pPr>
        <w:tabs>
          <w:tab w:val="left" w:pos="9072"/>
        </w:tabs>
        <w:spacing w:line="240" w:lineRule="auto"/>
        <w:ind w:left="284" w:right="140"/>
        <w:jc w:val="both"/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ource Sans Pro" w:hAnsi="Source Sans Pro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</w:t>
      </w:r>
      <w:r w:rsidR="00BC59C6" w:rsidRPr="009455E7"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Fonte: MF</w:t>
      </w:r>
      <w:r w:rsidR="00F833A9" w:rsidRPr="009455E7"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</w:t>
      </w:r>
    </w:p>
    <w:p w:rsidR="00BC59C6" w:rsidRPr="009455E7" w:rsidRDefault="00BC59C6" w:rsidP="00BC59C6">
      <w:pPr>
        <w:tabs>
          <w:tab w:val="left" w:pos="9072"/>
        </w:tabs>
        <w:spacing w:line="240" w:lineRule="auto"/>
        <w:ind w:left="-28" w:right="140"/>
        <w:jc w:val="both"/>
        <w:rPr>
          <w:rFonts w:ascii="Source Sans Pro" w:hAnsi="Source Sans Pro"/>
          <w:bCs/>
          <w:color w:val="000000" w:themeColor="text1"/>
          <w:sz w:val="2"/>
          <w:szCs w:val="2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C59C6" w:rsidRPr="009455E7" w:rsidRDefault="00BC59C6" w:rsidP="00BC59C6">
      <w:pPr>
        <w:pStyle w:val="PargrafodaLista"/>
        <w:autoSpaceDE w:val="0"/>
        <w:spacing w:before="120" w:line="360" w:lineRule="auto"/>
        <w:ind w:left="720"/>
        <w:jc w:val="both"/>
        <w:rPr>
          <w:rFonts w:ascii="Source Sans Pro" w:hAnsi="Source Sans Pro" w:cs="Arial"/>
          <w:bCs/>
          <w:sz w:val="10"/>
          <w:szCs w:val="10"/>
        </w:rPr>
      </w:pPr>
    </w:p>
    <w:p w:rsidR="00AA03C7" w:rsidRPr="009455E7" w:rsidRDefault="00AA03C7" w:rsidP="00AA03C7">
      <w:pPr>
        <w:pStyle w:val="PargrafodaLista"/>
        <w:tabs>
          <w:tab w:val="left" w:pos="9072"/>
        </w:tabs>
        <w:spacing w:line="360" w:lineRule="auto"/>
        <w:ind w:left="153" w:right="140"/>
        <w:jc w:val="center"/>
        <w:rPr>
          <w:rFonts w:ascii="Source Sans Pro" w:hAnsi="Source Sans Pro"/>
          <w:b/>
          <w:bCs/>
          <w:color w:val="2F5496" w:themeColor="accent5" w:themeShade="BF"/>
          <w:sz w:val="10"/>
          <w:szCs w:val="10"/>
          <w:lang w:eastAsia="pt-PT"/>
        </w:rPr>
      </w:pPr>
    </w:p>
    <w:p w:rsidR="00EC31B2" w:rsidRPr="009455E7" w:rsidRDefault="00B725E4" w:rsidP="00DF3DC8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uppressAutoHyphens w:val="0"/>
        <w:autoSpaceDN/>
        <w:ind w:left="0" w:right="140" w:firstLine="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bookmarkStart w:id="20" w:name="_Toc72504432"/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Projetos em Resposta à</w:t>
      </w:r>
      <w:r w:rsidR="00370F95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 xml:space="preserve"> C</w:t>
      </w:r>
      <w:r w:rsidR="00E73BEA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ovid</w:t>
      </w:r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-19</w:t>
      </w:r>
      <w:bookmarkEnd w:id="20"/>
      <w:r w:rsidR="00CC1ECD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 xml:space="preserve"> </w:t>
      </w:r>
    </w:p>
    <w:p w:rsidR="001D76B2" w:rsidRPr="009455E7" w:rsidRDefault="001D76B2" w:rsidP="001D76B2">
      <w:pPr>
        <w:pStyle w:val="PargrafodaLista"/>
        <w:tabs>
          <w:tab w:val="left" w:pos="0"/>
          <w:tab w:val="left" w:pos="284"/>
        </w:tabs>
        <w:suppressAutoHyphens w:val="0"/>
        <w:autoSpaceDN/>
        <w:ind w:left="0"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</w:p>
    <w:p w:rsidR="00082901" w:rsidRPr="009455E7" w:rsidRDefault="001D76B2" w:rsidP="001D76B2">
      <w:pPr>
        <w:spacing w:line="360" w:lineRule="auto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 execução orçamental dos projetos</w:t>
      </w:r>
      <w:r w:rsidR="00F833A9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/unidades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inscritos em resposta à Covid-19, </w:t>
      </w:r>
      <w:r w:rsidR="0038041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até julho</w:t>
      </w:r>
      <w:r w:rsidR="00DE72C8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B54CA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de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2021, totalizaram </w:t>
      </w:r>
      <w:r w:rsidR="0076432E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2</w:t>
      </w:r>
      <w:r w:rsidR="0095206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.</w:t>
      </w:r>
      <w:r w:rsidR="0076432E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034,7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milhões de CVE, representando uma taxa de execução de </w:t>
      </w:r>
      <w:r w:rsidR="0038041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4</w:t>
      </w:r>
      <w:r w:rsidR="0076432E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6,1</w:t>
      </w:r>
      <w:r w:rsidR="00F833A9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%. Ao nível de execução desses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projetos</w:t>
      </w:r>
      <w:r w:rsidR="00F833A9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/unidades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, por modalidade de financiamento, no período em análise, </w:t>
      </w:r>
      <w:r w:rsidR="003E798A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foi financiado pelo tesouro em </w:t>
      </w:r>
      <w:r w:rsidR="0076432E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43</w:t>
      </w:r>
      <w:r w:rsidR="0038041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</w:t>
      </w:r>
      <w:r w:rsidR="0076432E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1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%, por empréstimo em </w:t>
      </w:r>
      <w:r w:rsidR="0076432E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52</w:t>
      </w:r>
      <w:r w:rsidR="00637C5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</w:t>
      </w:r>
      <w:r w:rsidR="0076432E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2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% e por donativos em </w:t>
      </w:r>
      <w:r w:rsidR="0076432E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4</w:t>
      </w:r>
      <w:r w:rsidR="00380414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</w:t>
      </w:r>
      <w:r w:rsidR="0076432E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6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%.  </w:t>
      </w:r>
    </w:p>
    <w:p w:rsidR="00BC59C6" w:rsidRPr="009455E7" w:rsidRDefault="00BC59C6" w:rsidP="00BC59C6">
      <w:pPr>
        <w:spacing w:line="240" w:lineRule="auto"/>
        <w:jc w:val="both"/>
        <w:rPr>
          <w:rFonts w:ascii="Source Sans Pro" w:eastAsia="Times New Roman" w:hAnsi="Source Sans Pro" w:cs="Times New Roman"/>
          <w:bCs/>
          <w:sz w:val="10"/>
          <w:szCs w:val="10"/>
          <w:lang w:eastAsia="pt-PT"/>
        </w:rPr>
      </w:pPr>
    </w:p>
    <w:p w:rsidR="00BC59C6" w:rsidRPr="009455E7" w:rsidRDefault="00BC59C6" w:rsidP="00BC59C6">
      <w:pPr>
        <w:pStyle w:val="PargrafodaLista"/>
        <w:tabs>
          <w:tab w:val="left" w:pos="9072"/>
        </w:tabs>
        <w:spacing w:line="360" w:lineRule="auto"/>
        <w:ind w:left="153" w:right="140"/>
        <w:jc w:val="center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 xml:space="preserve">Quadro 5 - Despesa </w:t>
      </w:r>
      <w:r w:rsidR="00787387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Covid-19</w:t>
      </w:r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 xml:space="preserve"> por Tipo de Financiamento</w:t>
      </w:r>
    </w:p>
    <w:p w:rsidR="00380414" w:rsidRPr="009455E7" w:rsidRDefault="0076432E" w:rsidP="00BC59C6">
      <w:pPr>
        <w:pStyle w:val="PargrafodaLista"/>
        <w:tabs>
          <w:tab w:val="left" w:pos="9072"/>
        </w:tabs>
        <w:spacing w:line="360" w:lineRule="auto"/>
        <w:ind w:left="153" w:right="140"/>
        <w:jc w:val="center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76432E">
        <w:rPr>
          <w:noProof/>
          <w:lang w:eastAsia="pt-PT"/>
        </w:rPr>
        <w:drawing>
          <wp:inline distT="0" distB="0" distL="0" distR="0">
            <wp:extent cx="4248150" cy="925830"/>
            <wp:effectExtent l="0" t="0" r="0" b="762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78C" w:rsidRPr="009455E7" w:rsidRDefault="003E798A" w:rsidP="006E36B1">
      <w:pPr>
        <w:tabs>
          <w:tab w:val="left" w:pos="9072"/>
        </w:tabs>
        <w:spacing w:line="240" w:lineRule="auto"/>
        <w:ind w:left="-142" w:right="140"/>
        <w:jc w:val="both"/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5E7">
        <w:rPr>
          <w:rFonts w:ascii="Source Sans Pro" w:hAnsi="Source Sans Pro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</w:t>
      </w:r>
      <w:r w:rsidR="00BC59C6" w:rsidRPr="009455E7">
        <w:rPr>
          <w:rFonts w:ascii="Source Sans Pro" w:hAnsi="Source Sans Pro"/>
          <w:bCs/>
          <w:color w:val="000000" w:themeColor="text1"/>
          <w:sz w:val="16"/>
          <w:szCs w:val="16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9455E7"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Fonte: MF</w:t>
      </w:r>
      <w:r w:rsidR="00F833A9" w:rsidRPr="009455E7"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</w:t>
      </w:r>
    </w:p>
    <w:p w:rsidR="00BC59C6" w:rsidRPr="009455E7" w:rsidRDefault="00BC59C6" w:rsidP="006E36B1">
      <w:pPr>
        <w:tabs>
          <w:tab w:val="left" w:pos="9072"/>
        </w:tabs>
        <w:spacing w:line="240" w:lineRule="auto"/>
        <w:ind w:left="-142" w:right="140"/>
        <w:jc w:val="both"/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D76B2" w:rsidRPr="009455E7" w:rsidRDefault="001D76B2" w:rsidP="00220ECA">
      <w:pPr>
        <w:spacing w:line="360" w:lineRule="auto"/>
        <w:jc w:val="both"/>
        <w:rPr>
          <w:rFonts w:ascii="Source Sans Pro" w:hAnsi="Source Sans Pro"/>
          <w:sz w:val="24"/>
          <w:szCs w:val="24"/>
        </w:rPr>
      </w:pPr>
      <w:r w:rsidRPr="009455E7">
        <w:rPr>
          <w:rFonts w:ascii="Source Sans Pro" w:hAnsi="Source Sans Pro"/>
          <w:sz w:val="24"/>
          <w:szCs w:val="24"/>
        </w:rPr>
        <w:t>Dos projetos executados no período</w:t>
      </w:r>
      <w:r w:rsidR="00247F64" w:rsidRPr="009455E7">
        <w:rPr>
          <w:rFonts w:ascii="Source Sans Pro" w:hAnsi="Source Sans Pro"/>
          <w:sz w:val="24"/>
          <w:szCs w:val="24"/>
        </w:rPr>
        <w:t>,</w:t>
      </w:r>
      <w:r w:rsidRPr="009455E7">
        <w:rPr>
          <w:rFonts w:ascii="Source Sans Pro" w:hAnsi="Source Sans Pro"/>
          <w:sz w:val="24"/>
          <w:szCs w:val="24"/>
        </w:rPr>
        <w:t xml:space="preserve"> em valores absolutos</w:t>
      </w:r>
      <w:r w:rsidR="00247F64" w:rsidRPr="009455E7">
        <w:rPr>
          <w:rFonts w:ascii="Source Sans Pro" w:hAnsi="Source Sans Pro"/>
          <w:sz w:val="24"/>
          <w:szCs w:val="24"/>
        </w:rPr>
        <w:t>,</w:t>
      </w:r>
      <w:r w:rsidRPr="009455E7">
        <w:rPr>
          <w:rFonts w:ascii="Source Sans Pro" w:hAnsi="Source Sans Pro"/>
          <w:sz w:val="24"/>
          <w:szCs w:val="24"/>
        </w:rPr>
        <w:t xml:space="preserve"> destacam-se:</w:t>
      </w:r>
    </w:p>
    <w:p w:rsidR="00220ECA" w:rsidRPr="009455E7" w:rsidRDefault="0036530F" w:rsidP="00F30F6F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Source Sans Pro" w:hAnsi="Source Sans Pro"/>
          <w:sz w:val="24"/>
          <w:szCs w:val="24"/>
        </w:rPr>
      </w:pPr>
      <w:r w:rsidRPr="009455E7">
        <w:rPr>
          <w:rFonts w:ascii="Source Sans Pro" w:hAnsi="Source Sans Pro"/>
          <w:sz w:val="24"/>
          <w:szCs w:val="24"/>
        </w:rPr>
        <w:t>“</w:t>
      </w:r>
      <w:r w:rsidR="00220ECA" w:rsidRPr="009455E7">
        <w:rPr>
          <w:rFonts w:ascii="Source Sans Pro" w:hAnsi="Source Sans Pro"/>
          <w:sz w:val="24"/>
          <w:szCs w:val="24"/>
        </w:rPr>
        <w:t xml:space="preserve">Implementação de Rendimento Social de Inclusão </w:t>
      </w:r>
      <w:r w:rsidR="00B50E7C" w:rsidRPr="009455E7">
        <w:rPr>
          <w:rFonts w:ascii="Source Sans Pro" w:hAnsi="Source Sans Pro"/>
          <w:sz w:val="24"/>
          <w:szCs w:val="24"/>
        </w:rPr>
        <w:t>“(</w:t>
      </w:r>
      <w:r w:rsidR="00F30F6F" w:rsidRPr="009455E7">
        <w:rPr>
          <w:rFonts w:ascii="Source Sans Pro" w:hAnsi="Source Sans Pro"/>
          <w:sz w:val="24"/>
          <w:szCs w:val="24"/>
        </w:rPr>
        <w:t xml:space="preserve">858,5 </w:t>
      </w:r>
      <w:r w:rsidR="00220ECA" w:rsidRPr="009455E7">
        <w:rPr>
          <w:rFonts w:ascii="Source Sans Pro" w:hAnsi="Source Sans Pro"/>
          <w:sz w:val="24"/>
          <w:szCs w:val="24"/>
        </w:rPr>
        <w:t>milhões de CVE);</w:t>
      </w:r>
    </w:p>
    <w:p w:rsidR="00220ECA" w:rsidRPr="009455E7" w:rsidRDefault="00220ECA" w:rsidP="00220ECA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Source Sans Pro" w:hAnsi="Source Sans Pro"/>
          <w:sz w:val="24"/>
          <w:szCs w:val="24"/>
        </w:rPr>
      </w:pPr>
      <w:r w:rsidRPr="009455E7">
        <w:rPr>
          <w:rFonts w:ascii="Source Sans Pro" w:hAnsi="Source Sans Pro"/>
          <w:sz w:val="24"/>
          <w:szCs w:val="24"/>
        </w:rPr>
        <w:t>“Prevenção</w:t>
      </w:r>
      <w:r w:rsidR="00F30F6F" w:rsidRPr="009455E7">
        <w:rPr>
          <w:rFonts w:ascii="Source Sans Pro" w:hAnsi="Source Sans Pro"/>
          <w:sz w:val="24"/>
          <w:szCs w:val="24"/>
        </w:rPr>
        <w:t xml:space="preserve"> e Combate a Coronavírus” (335,7</w:t>
      </w:r>
      <w:r w:rsidRPr="009455E7">
        <w:rPr>
          <w:rFonts w:ascii="Source Sans Pro" w:hAnsi="Source Sans Pro"/>
          <w:sz w:val="24"/>
          <w:szCs w:val="24"/>
        </w:rPr>
        <w:t xml:space="preserve"> milhões de CVE); </w:t>
      </w:r>
    </w:p>
    <w:p w:rsidR="001D76B2" w:rsidRPr="009455E7" w:rsidRDefault="001D76B2" w:rsidP="00F30F6F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Source Sans Pro" w:hAnsi="Source Sans Pro"/>
          <w:sz w:val="24"/>
          <w:szCs w:val="24"/>
        </w:rPr>
      </w:pPr>
      <w:r w:rsidRPr="009455E7">
        <w:rPr>
          <w:rFonts w:ascii="Source Sans Pro" w:hAnsi="Source Sans Pro" w:cs="Calibri"/>
          <w:color w:val="000000"/>
          <w:sz w:val="24"/>
          <w:szCs w:val="24"/>
        </w:rPr>
        <w:lastRenderedPageBreak/>
        <w:t>“</w:t>
      </w:r>
      <w:r w:rsidR="00BD5776" w:rsidRPr="009455E7">
        <w:rPr>
          <w:rFonts w:ascii="Source Sans Pro" w:hAnsi="Source Sans Pro" w:cs="Calibri"/>
          <w:color w:val="000000"/>
          <w:sz w:val="24"/>
          <w:szCs w:val="24"/>
        </w:rPr>
        <w:t>Reforço ao Setor da Educação</w:t>
      </w:r>
      <w:r w:rsidRPr="009455E7">
        <w:rPr>
          <w:rFonts w:ascii="Source Sans Pro" w:hAnsi="Source Sans Pro"/>
          <w:sz w:val="24"/>
          <w:szCs w:val="24"/>
        </w:rPr>
        <w:t>” (</w:t>
      </w:r>
      <w:r w:rsidR="00F30F6F" w:rsidRPr="009455E7">
        <w:rPr>
          <w:rFonts w:ascii="Source Sans Pro" w:hAnsi="Source Sans Pro"/>
          <w:sz w:val="24"/>
          <w:szCs w:val="24"/>
        </w:rPr>
        <w:t xml:space="preserve">184,4 </w:t>
      </w:r>
      <w:r w:rsidRPr="009455E7">
        <w:rPr>
          <w:rFonts w:ascii="Source Sans Pro" w:hAnsi="Source Sans Pro"/>
          <w:sz w:val="24"/>
          <w:szCs w:val="24"/>
        </w:rPr>
        <w:t>milhões de CVE);</w:t>
      </w:r>
    </w:p>
    <w:p w:rsidR="00953DFA" w:rsidRPr="009455E7" w:rsidRDefault="00953DFA" w:rsidP="00F30F6F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Source Sans Pro" w:hAnsi="Source Sans Pro"/>
          <w:sz w:val="24"/>
          <w:szCs w:val="24"/>
        </w:rPr>
      </w:pPr>
      <w:r w:rsidRPr="009455E7">
        <w:rPr>
          <w:rFonts w:ascii="Source Sans Pro" w:hAnsi="Source Sans Pro"/>
          <w:sz w:val="24"/>
          <w:szCs w:val="24"/>
        </w:rPr>
        <w:t>“Preparação Projeto Cabo Verde Digital” (</w:t>
      </w:r>
      <w:r w:rsidR="00F30F6F" w:rsidRPr="009455E7">
        <w:rPr>
          <w:rFonts w:ascii="Source Sans Pro" w:hAnsi="Source Sans Pro"/>
          <w:sz w:val="24"/>
          <w:szCs w:val="24"/>
        </w:rPr>
        <w:t xml:space="preserve">54,7 </w:t>
      </w:r>
      <w:r w:rsidRPr="009455E7">
        <w:rPr>
          <w:rFonts w:ascii="Source Sans Pro" w:hAnsi="Source Sans Pro"/>
          <w:sz w:val="24"/>
          <w:szCs w:val="24"/>
        </w:rPr>
        <w:t>milhões de CVE);</w:t>
      </w:r>
    </w:p>
    <w:p w:rsidR="00220ECA" w:rsidRPr="009455E7" w:rsidRDefault="00B2074A" w:rsidP="00F30F6F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Source Sans Pro" w:hAnsi="Source Sans Pro"/>
          <w:sz w:val="24"/>
          <w:szCs w:val="24"/>
        </w:rPr>
      </w:pPr>
      <w:r w:rsidRPr="009455E7">
        <w:rPr>
          <w:rFonts w:ascii="Source Sans Pro" w:hAnsi="Source Sans Pro"/>
          <w:sz w:val="24"/>
          <w:szCs w:val="24"/>
        </w:rPr>
        <w:t>“</w:t>
      </w:r>
      <w:r w:rsidR="00D47BBF">
        <w:rPr>
          <w:rFonts w:ascii="Source Sans Pro" w:hAnsi="Source Sans Pro"/>
          <w:sz w:val="24"/>
          <w:szCs w:val="24"/>
        </w:rPr>
        <w:t>Reforço do Setor da Saúde No Combate a</w:t>
      </w:r>
      <w:r w:rsidR="00F30F6F" w:rsidRPr="009455E7">
        <w:rPr>
          <w:rFonts w:ascii="Source Sans Pro" w:hAnsi="Source Sans Pro"/>
          <w:sz w:val="24"/>
          <w:szCs w:val="24"/>
        </w:rPr>
        <w:t>o Covid</w:t>
      </w:r>
      <w:r w:rsidR="00D47BBF">
        <w:rPr>
          <w:rFonts w:ascii="Source Sans Pro" w:hAnsi="Source Sans Pro"/>
          <w:sz w:val="24"/>
          <w:szCs w:val="24"/>
        </w:rPr>
        <w:t>-</w:t>
      </w:r>
      <w:r w:rsidR="00F30F6F" w:rsidRPr="009455E7">
        <w:rPr>
          <w:rFonts w:ascii="Source Sans Pro" w:hAnsi="Source Sans Pro"/>
          <w:sz w:val="24"/>
          <w:szCs w:val="24"/>
        </w:rPr>
        <w:t>19” (50,9</w:t>
      </w:r>
      <w:r w:rsidR="00220ECA" w:rsidRPr="009455E7">
        <w:rPr>
          <w:rFonts w:ascii="Source Sans Pro" w:hAnsi="Source Sans Pro"/>
          <w:sz w:val="24"/>
          <w:szCs w:val="24"/>
        </w:rPr>
        <w:t xml:space="preserve"> milhões de CVE);</w:t>
      </w:r>
    </w:p>
    <w:p w:rsidR="001D76B2" w:rsidRPr="009455E7" w:rsidRDefault="00B2074A" w:rsidP="00F30F6F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Source Sans Pro" w:hAnsi="Source Sans Pro"/>
          <w:sz w:val="24"/>
          <w:szCs w:val="24"/>
        </w:rPr>
      </w:pPr>
      <w:r w:rsidRPr="009455E7">
        <w:rPr>
          <w:rFonts w:ascii="Source Sans Pro" w:hAnsi="Source Sans Pro"/>
          <w:sz w:val="24"/>
          <w:szCs w:val="24"/>
        </w:rPr>
        <w:t xml:space="preserve"> </w:t>
      </w:r>
      <w:r w:rsidR="001D76B2" w:rsidRPr="009455E7">
        <w:rPr>
          <w:rFonts w:ascii="Source Sans Pro" w:hAnsi="Source Sans Pro"/>
          <w:sz w:val="24"/>
          <w:szCs w:val="24"/>
        </w:rPr>
        <w:t>“</w:t>
      </w:r>
      <w:r w:rsidR="00F30F6F" w:rsidRPr="009455E7">
        <w:rPr>
          <w:rFonts w:ascii="Source Sans Pro" w:hAnsi="Source Sans Pro"/>
          <w:sz w:val="24"/>
          <w:szCs w:val="24"/>
        </w:rPr>
        <w:t>Capacitação Dos Profissionais Do Turismo E Áreas Transversais - COVID_19</w:t>
      </w:r>
      <w:r w:rsidR="001D76B2" w:rsidRPr="009455E7">
        <w:rPr>
          <w:rFonts w:ascii="Source Sans Pro" w:hAnsi="Source Sans Pro"/>
          <w:sz w:val="24"/>
          <w:szCs w:val="24"/>
        </w:rPr>
        <w:t>” (</w:t>
      </w:r>
      <w:r w:rsidR="00F30F6F" w:rsidRPr="009455E7">
        <w:rPr>
          <w:rFonts w:ascii="Source Sans Pro" w:hAnsi="Source Sans Pro"/>
          <w:sz w:val="24"/>
          <w:szCs w:val="24"/>
        </w:rPr>
        <w:t xml:space="preserve">35,5 </w:t>
      </w:r>
      <w:r w:rsidR="00BC59C6" w:rsidRPr="009455E7">
        <w:rPr>
          <w:rFonts w:ascii="Source Sans Pro" w:hAnsi="Source Sans Pro"/>
          <w:sz w:val="24"/>
          <w:szCs w:val="24"/>
        </w:rPr>
        <w:t>milhões de CVE); e</w:t>
      </w:r>
    </w:p>
    <w:p w:rsidR="00B2074A" w:rsidRPr="009455E7" w:rsidRDefault="00B2074A" w:rsidP="00F30F6F">
      <w:pPr>
        <w:numPr>
          <w:ilvl w:val="0"/>
          <w:numId w:val="21"/>
        </w:numPr>
        <w:suppressAutoHyphens/>
        <w:autoSpaceDN w:val="0"/>
        <w:spacing w:after="0" w:line="360" w:lineRule="auto"/>
        <w:jc w:val="both"/>
        <w:textAlignment w:val="baseline"/>
        <w:rPr>
          <w:rFonts w:ascii="Source Sans Pro" w:hAnsi="Source Sans Pro"/>
          <w:sz w:val="24"/>
          <w:szCs w:val="24"/>
        </w:rPr>
      </w:pPr>
      <w:r w:rsidRPr="009455E7">
        <w:rPr>
          <w:rFonts w:ascii="Source Sans Pro" w:hAnsi="Source Sans Pro"/>
          <w:sz w:val="24"/>
          <w:szCs w:val="24"/>
        </w:rPr>
        <w:t>“</w:t>
      </w:r>
      <w:r w:rsidR="004D7732" w:rsidRPr="009455E7">
        <w:rPr>
          <w:rFonts w:ascii="Source Sans Pro" w:hAnsi="Source Sans Pro"/>
          <w:sz w:val="24"/>
          <w:szCs w:val="24"/>
        </w:rPr>
        <w:t>Ampliação</w:t>
      </w:r>
      <w:r w:rsidR="004D7732">
        <w:rPr>
          <w:rFonts w:ascii="Source Sans Pro" w:hAnsi="Source Sans Pro"/>
          <w:sz w:val="24"/>
          <w:szCs w:val="24"/>
        </w:rPr>
        <w:t xml:space="preserve"> do Centro de Saúde d</w:t>
      </w:r>
      <w:r w:rsidR="00F30F6F" w:rsidRPr="009455E7">
        <w:rPr>
          <w:rFonts w:ascii="Source Sans Pro" w:hAnsi="Source Sans Pro"/>
          <w:sz w:val="24"/>
          <w:szCs w:val="24"/>
        </w:rPr>
        <w:t xml:space="preserve">e </w:t>
      </w:r>
      <w:r w:rsidR="004D7732" w:rsidRPr="009455E7">
        <w:rPr>
          <w:rFonts w:ascii="Source Sans Pro" w:hAnsi="Source Sans Pro"/>
          <w:sz w:val="24"/>
          <w:szCs w:val="24"/>
        </w:rPr>
        <w:t>Boa</w:t>
      </w:r>
      <w:r w:rsidR="00F30F6F" w:rsidRPr="009455E7">
        <w:rPr>
          <w:rFonts w:ascii="Source Sans Pro" w:hAnsi="Source Sans Pro"/>
          <w:sz w:val="24"/>
          <w:szCs w:val="24"/>
        </w:rPr>
        <w:t xml:space="preserve"> Vista” (35,0</w:t>
      </w:r>
      <w:r w:rsidR="00BC59C6" w:rsidRPr="009455E7">
        <w:rPr>
          <w:rFonts w:ascii="Source Sans Pro" w:hAnsi="Source Sans Pro"/>
          <w:sz w:val="24"/>
          <w:szCs w:val="24"/>
        </w:rPr>
        <w:t xml:space="preserve"> milhões de CVE).</w:t>
      </w:r>
    </w:p>
    <w:p w:rsidR="00F30F6F" w:rsidRPr="009455E7" w:rsidRDefault="00F30F6F" w:rsidP="00F30F6F">
      <w:pPr>
        <w:suppressAutoHyphens/>
        <w:autoSpaceDN w:val="0"/>
        <w:spacing w:after="0" w:line="360" w:lineRule="auto"/>
        <w:ind w:left="770"/>
        <w:jc w:val="both"/>
        <w:textAlignment w:val="baseline"/>
        <w:rPr>
          <w:rFonts w:ascii="Source Sans Pro" w:hAnsi="Source Sans Pro"/>
          <w:sz w:val="24"/>
          <w:szCs w:val="24"/>
        </w:rPr>
      </w:pPr>
    </w:p>
    <w:p w:rsidR="001D76B2" w:rsidRPr="009455E7" w:rsidRDefault="00FD16CB" w:rsidP="00FD16CB">
      <w:pPr>
        <w:jc w:val="center"/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</w:pPr>
      <w:r w:rsidRPr="009455E7">
        <w:rPr>
          <w:rFonts w:ascii="Source Sans Pro" w:hAnsi="Source Sans Pro"/>
          <w:b/>
          <w:bCs/>
          <w:lang w:eastAsia="pt-PT"/>
        </w:rPr>
        <w:t>Q</w:t>
      </w:r>
      <w:r w:rsidR="001D76B2" w:rsidRPr="009455E7">
        <w:rPr>
          <w:rFonts w:ascii="Source Sans Pro" w:hAnsi="Source Sans Pro"/>
          <w:b/>
          <w:bCs/>
          <w:lang w:eastAsia="pt-PT"/>
        </w:rPr>
        <w:t xml:space="preserve">uadro </w:t>
      </w:r>
      <w:r w:rsidR="00BC59C6" w:rsidRPr="009455E7"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  <w:t>6</w:t>
      </w:r>
      <w:r w:rsidR="001D76B2" w:rsidRPr="009455E7"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  <w:t xml:space="preserve"> – Execução dos projetos no âmbito da Covid-19</w:t>
      </w:r>
    </w:p>
    <w:p w:rsidR="00CD7A43" w:rsidRPr="009455E7" w:rsidRDefault="002E24D8" w:rsidP="00FD16CB">
      <w:pPr>
        <w:jc w:val="center"/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</w:pPr>
      <w:r w:rsidRPr="002E24D8">
        <w:rPr>
          <w:noProof/>
          <w:lang w:eastAsia="pt-PT"/>
        </w:rPr>
        <w:drawing>
          <wp:inline distT="0" distB="0" distL="0" distR="0">
            <wp:extent cx="5399507" cy="6117221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9" cy="61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B2" w:rsidRPr="009455E7" w:rsidRDefault="001D76B2" w:rsidP="00BC59C6">
      <w:pPr>
        <w:spacing w:after="0" w:line="240" w:lineRule="auto"/>
        <w:ind w:left="-182" w:hanging="426"/>
        <w:rPr>
          <w:rFonts w:ascii="Source Sans Pro" w:hAnsi="Source Sans Pro"/>
          <w:sz w:val="18"/>
          <w:szCs w:val="18"/>
        </w:rPr>
      </w:pPr>
      <w:r w:rsidRPr="009455E7">
        <w:rPr>
          <w:rFonts w:ascii="Source Sans Pro" w:hAnsi="Source Sans Pro"/>
          <w:sz w:val="20"/>
          <w:szCs w:val="20"/>
        </w:rPr>
        <w:t xml:space="preserve">           </w:t>
      </w:r>
      <w:r w:rsidR="00787387" w:rsidRPr="009455E7">
        <w:rPr>
          <w:rFonts w:ascii="Source Sans Pro" w:hAnsi="Source Sans Pro"/>
          <w:sz w:val="20"/>
          <w:szCs w:val="20"/>
        </w:rPr>
        <w:t xml:space="preserve">   </w:t>
      </w:r>
      <w:r w:rsidR="00634C66" w:rsidRPr="009455E7">
        <w:rPr>
          <w:rFonts w:ascii="Source Sans Pro" w:hAnsi="Source Sans Pro"/>
          <w:sz w:val="20"/>
          <w:szCs w:val="20"/>
        </w:rPr>
        <w:t xml:space="preserve"> </w:t>
      </w:r>
      <w:r w:rsidR="00405119" w:rsidRPr="009455E7">
        <w:rPr>
          <w:rFonts w:ascii="Source Sans Pro" w:hAnsi="Source Sans Pro"/>
          <w:sz w:val="20"/>
          <w:szCs w:val="20"/>
        </w:rPr>
        <w:t xml:space="preserve"> </w:t>
      </w:r>
      <w:r w:rsidRPr="009455E7">
        <w:rPr>
          <w:rFonts w:ascii="Source Sans Pro" w:hAnsi="Source Sans Pro"/>
          <w:sz w:val="18"/>
          <w:szCs w:val="18"/>
        </w:rPr>
        <w:t xml:space="preserve">Fonte: </w:t>
      </w:r>
      <w:r w:rsidR="003E7359" w:rsidRPr="009455E7">
        <w:rPr>
          <w:rFonts w:ascii="Source Sans Pro" w:hAnsi="Source Sans Pro"/>
          <w:sz w:val="18"/>
          <w:szCs w:val="18"/>
        </w:rPr>
        <w:t>MF</w:t>
      </w:r>
      <w:r w:rsidR="00F833A9" w:rsidRPr="009455E7">
        <w:rPr>
          <w:rFonts w:ascii="Source Sans Pro" w:hAnsi="Source Sans Pro"/>
          <w:sz w:val="18"/>
          <w:szCs w:val="18"/>
        </w:rPr>
        <w:t>FE</w:t>
      </w:r>
    </w:p>
    <w:p w:rsidR="00FD16CB" w:rsidRPr="009455E7" w:rsidRDefault="00FD16CB" w:rsidP="00BC59C6">
      <w:pPr>
        <w:spacing w:after="0" w:line="240" w:lineRule="auto"/>
        <w:ind w:left="-182" w:hanging="426"/>
        <w:rPr>
          <w:rFonts w:ascii="Source Sans Pro" w:hAnsi="Source Sans Pro"/>
          <w:sz w:val="18"/>
          <w:szCs w:val="18"/>
        </w:rPr>
      </w:pPr>
    </w:p>
    <w:p w:rsidR="004444C9" w:rsidRPr="009455E7" w:rsidRDefault="004444C9" w:rsidP="001D76B2">
      <w:pPr>
        <w:spacing w:line="360" w:lineRule="auto"/>
        <w:ind w:left="-182" w:hanging="426"/>
        <w:rPr>
          <w:rFonts w:ascii="Source Sans Pro" w:hAnsi="Source Sans Pro"/>
          <w:sz w:val="4"/>
          <w:szCs w:val="4"/>
        </w:rPr>
      </w:pPr>
    </w:p>
    <w:p w:rsidR="00EC31B2" w:rsidRPr="009455E7" w:rsidRDefault="00EC31B2" w:rsidP="00DF3DC8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uppressAutoHyphens w:val="0"/>
        <w:autoSpaceDN/>
        <w:ind w:left="0" w:right="140" w:firstLine="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bookmarkStart w:id="21" w:name="_Toc72504433"/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lastRenderedPageBreak/>
        <w:t>Posição da Execução dos Maiores Projetos financiados por Empréstimos Externo</w:t>
      </w:r>
      <w:bookmarkEnd w:id="21"/>
    </w:p>
    <w:p w:rsidR="00EC31B2" w:rsidRPr="009455E7" w:rsidRDefault="00EC31B2" w:rsidP="00EC31B2">
      <w:pPr>
        <w:pStyle w:val="PargrafodaLista"/>
        <w:tabs>
          <w:tab w:val="left" w:pos="0"/>
          <w:tab w:val="left" w:pos="284"/>
        </w:tabs>
        <w:suppressAutoHyphens w:val="0"/>
        <w:autoSpaceDN/>
        <w:ind w:left="858"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</w:p>
    <w:p w:rsidR="00EC31B2" w:rsidRPr="009455E7" w:rsidRDefault="00EC31B2" w:rsidP="00EC31B2">
      <w:pPr>
        <w:spacing w:line="360" w:lineRule="auto"/>
        <w:jc w:val="both"/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 execuçã</w:t>
      </w:r>
      <w:r w:rsidR="00953DFA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o dos </w:t>
      </w:r>
      <w:r w:rsidR="007873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dez</w:t>
      </w:r>
      <w:r w:rsidR="00CD717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7873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maiores projetos com financiamento externo</w:t>
      </w:r>
      <w:r w:rsidR="00AA24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atingiu</w:t>
      </w:r>
      <w:r w:rsidR="008A0350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 em julho</w:t>
      </w:r>
      <w:r w:rsidR="00AA24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, </w:t>
      </w:r>
      <w:r w:rsidR="007873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o montante de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  <w:r w:rsidR="008A0350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1</w:t>
      </w:r>
      <w:r w:rsidR="00B36E31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.</w:t>
      </w:r>
      <w:r w:rsidR="008A0350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2</w:t>
      </w:r>
      <w:r w:rsidR="000137B0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76,7</w:t>
      </w:r>
      <w:r w:rsidR="00953DFA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m</w:t>
      </w:r>
      <w:r w:rsidR="00CD717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ilhões de CVE</w:t>
      </w:r>
      <w:r w:rsidR="008A0350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(cerca de </w:t>
      </w:r>
      <w:r w:rsidR="000137B0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72,3</w:t>
      </w:r>
      <w:r w:rsidR="00AA24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% do total com financiamento externo)</w:t>
      </w:r>
      <w:r w:rsidR="00CD7172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, representando </w:t>
      </w:r>
      <w:r w:rsidR="000137B0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14,1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% do valor orçamentado. </w:t>
      </w:r>
      <w:r w:rsidR="007873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Isto, dado que, por um lado, </w:t>
      </w:r>
      <w:r w:rsidR="00AA24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historicamente a execução regista uma maior aceleração no segundo semestre </w:t>
      </w:r>
      <w:r w:rsidR="007873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e</w:t>
      </w:r>
      <w:r w:rsidR="00AA24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</w:t>
      </w:r>
      <w:r w:rsidR="007873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por outro lado, regista-se um atraso efetivo no arranque de alguns projetos, levando a uma reprogramação do PPIP </w:t>
      </w:r>
      <w:r w:rsidR="00AA24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no OR 2021 em processo de </w:t>
      </w:r>
      <w:r w:rsidR="001271E0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promulgação </w:t>
      </w:r>
      <w:r w:rsidR="00AA24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e </w:t>
      </w:r>
      <w:r w:rsidR="001271E0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publicação</w:t>
      </w:r>
      <w:r w:rsidR="00787387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.</w:t>
      </w:r>
    </w:p>
    <w:p w:rsidR="00EC31B2" w:rsidRPr="009455E7" w:rsidRDefault="00EC31B2" w:rsidP="00EC31B2">
      <w:pPr>
        <w:spacing w:line="360" w:lineRule="auto"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Da análise da execução em relação aos projetos com maiores valores orçamentados para 2021, verifica-</w:t>
      </w:r>
      <w:r w:rsidR="00D7291C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se o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seguinte</w:t>
      </w:r>
      <w:r w:rsidR="00D7291C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:</w:t>
      </w:r>
    </w:p>
    <w:p w:rsidR="005E3DFB" w:rsidRPr="009455E7" w:rsidRDefault="005E3DFB" w:rsidP="005E3DFB">
      <w:pPr>
        <w:numPr>
          <w:ilvl w:val="0"/>
          <w:numId w:val="20"/>
        </w:numPr>
        <w:spacing w:line="360" w:lineRule="auto"/>
        <w:contextualSpacing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Implementação de Rendimento Social de In</w:t>
      </w:r>
      <w:r w:rsidR="008A0350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clusão com uma execução de 836</w:t>
      </w:r>
      <w:r w:rsidR="005F756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,3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milhões de CVE; </w:t>
      </w:r>
    </w:p>
    <w:p w:rsidR="005E3DFB" w:rsidRPr="009455E7" w:rsidRDefault="005E3DFB" w:rsidP="005E3DFB">
      <w:pPr>
        <w:numPr>
          <w:ilvl w:val="0"/>
          <w:numId w:val="20"/>
        </w:numPr>
        <w:spacing w:line="360" w:lineRule="auto"/>
        <w:contextualSpacing/>
        <w:jc w:val="both"/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Reforço ao Sector da Ed</w:t>
      </w:r>
      <w:r w:rsidR="007A126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ucação com uma execução de </w:t>
      </w:r>
      <w:r w:rsidR="005F756F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>151,1</w:t>
      </w:r>
      <w:r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milhões de CVE;</w:t>
      </w:r>
      <w:r w:rsidR="00AA24B6" w:rsidRPr="009455E7">
        <w:rPr>
          <w:rFonts w:ascii="Source Sans Pro" w:eastAsia="Times New Roman" w:hAnsi="Source Sans Pro" w:cs="Times New Roman"/>
          <w:bCs/>
          <w:sz w:val="24"/>
          <w:szCs w:val="24"/>
          <w:lang w:eastAsia="pt-PT"/>
        </w:rPr>
        <w:t xml:space="preserve"> </w:t>
      </w:r>
    </w:p>
    <w:p w:rsidR="00247F64" w:rsidRPr="009455E7" w:rsidRDefault="00B36E31" w:rsidP="005F756F">
      <w:pPr>
        <w:pStyle w:val="PargrafodaLista"/>
        <w:numPr>
          <w:ilvl w:val="0"/>
          <w:numId w:val="31"/>
        </w:numPr>
        <w:spacing w:line="360" w:lineRule="auto"/>
        <w:contextualSpacing/>
        <w:jc w:val="both"/>
        <w:rPr>
          <w:rFonts w:ascii="Source Sans Pro" w:hAnsi="Source Sans Pro"/>
          <w:bCs/>
          <w:sz w:val="4"/>
          <w:szCs w:val="4"/>
          <w:lang w:eastAsia="pt-PT"/>
        </w:rPr>
        <w:sectPr w:rsidR="00247F64" w:rsidRPr="009455E7" w:rsidSect="001E6AF5">
          <w:headerReference w:type="default" r:id="rId16"/>
          <w:footerReference w:type="default" r:id="rId17"/>
          <w:footerReference w:type="first" r:id="rId18"/>
          <w:pgSz w:w="11906" w:h="16838"/>
          <w:pgMar w:top="1560" w:right="1701" w:bottom="1276" w:left="1701" w:header="708" w:footer="421" w:gutter="0"/>
          <w:pgNumType w:start="0"/>
          <w:cols w:space="708"/>
          <w:titlePg/>
          <w:docGrid w:linePitch="360"/>
        </w:sectPr>
      </w:pPr>
      <w:r>
        <w:rPr>
          <w:rFonts w:ascii="Source Sans Pro" w:hAnsi="Source Sans Pro"/>
          <w:bCs/>
          <w:lang w:eastAsia="pt-PT"/>
        </w:rPr>
        <w:t>Programa de Promoção d</w:t>
      </w:r>
      <w:r w:rsidR="001B2C3F" w:rsidRPr="009455E7">
        <w:rPr>
          <w:rFonts w:ascii="Source Sans Pro" w:hAnsi="Source Sans Pro"/>
          <w:bCs/>
          <w:lang w:eastAsia="pt-PT"/>
        </w:rPr>
        <w:t xml:space="preserve">e Oportunidades Socioeconómicas Rurais </w:t>
      </w:r>
      <w:r w:rsidR="0067528F" w:rsidRPr="009455E7">
        <w:rPr>
          <w:rFonts w:ascii="Source Sans Pro" w:hAnsi="Source Sans Pro"/>
          <w:bCs/>
          <w:lang w:eastAsia="pt-PT"/>
        </w:rPr>
        <w:t>(</w:t>
      </w:r>
      <w:proofErr w:type="spellStart"/>
      <w:r w:rsidR="001B2C3F" w:rsidRPr="009455E7">
        <w:rPr>
          <w:rFonts w:ascii="Source Sans Pro" w:hAnsi="Source Sans Pro"/>
          <w:bCs/>
          <w:lang w:eastAsia="pt-PT"/>
        </w:rPr>
        <w:t>Poser</w:t>
      </w:r>
      <w:proofErr w:type="spellEnd"/>
      <w:r w:rsidR="001B2C3F" w:rsidRPr="009455E7">
        <w:rPr>
          <w:rFonts w:ascii="Source Sans Pro" w:hAnsi="Source Sans Pro"/>
          <w:bCs/>
          <w:lang w:eastAsia="pt-PT"/>
        </w:rPr>
        <w:t>)</w:t>
      </w:r>
      <w:r w:rsidR="005F756F" w:rsidRPr="009455E7">
        <w:rPr>
          <w:rFonts w:ascii="Source Sans Pro" w:hAnsi="Source Sans Pro"/>
          <w:bCs/>
          <w:lang w:eastAsia="pt-PT"/>
        </w:rPr>
        <w:t xml:space="preserve"> com uma execução de 89,7 milhões de CVE.</w:t>
      </w:r>
    </w:p>
    <w:p w:rsidR="00EF72CC" w:rsidRPr="009455E7" w:rsidRDefault="001D76B2" w:rsidP="008A0350">
      <w:pPr>
        <w:pStyle w:val="PargrafodaLista"/>
        <w:tabs>
          <w:tab w:val="left" w:pos="9072"/>
        </w:tabs>
        <w:spacing w:line="360" w:lineRule="auto"/>
        <w:ind w:left="153" w:right="140"/>
        <w:jc w:val="center"/>
        <w:rPr>
          <w:rFonts w:ascii="Source Sans Pro" w:hAnsi="Source Sans Pro"/>
          <w:bCs/>
          <w:color w:val="000000" w:themeColor="text1"/>
          <w:sz w:val="20"/>
          <w:szCs w:val="20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5E7">
        <w:rPr>
          <w:rFonts w:ascii="Source Sans Pro" w:hAnsi="Source Sans Pro"/>
          <w:b/>
          <w:bCs/>
          <w:lang w:eastAsia="pt-PT"/>
        </w:rPr>
        <w:lastRenderedPageBreak/>
        <w:t xml:space="preserve">Quadro </w:t>
      </w:r>
      <w:r w:rsidR="00787387" w:rsidRPr="009455E7">
        <w:rPr>
          <w:rFonts w:ascii="Source Sans Pro" w:hAnsi="Source Sans Pro"/>
          <w:b/>
          <w:bCs/>
          <w:lang w:eastAsia="pt-PT"/>
        </w:rPr>
        <w:t>7</w:t>
      </w:r>
      <w:r w:rsidR="00D7291C" w:rsidRPr="009455E7">
        <w:rPr>
          <w:rFonts w:ascii="Source Sans Pro" w:hAnsi="Source Sans Pro"/>
          <w:b/>
          <w:bCs/>
          <w:lang w:eastAsia="pt-PT"/>
        </w:rPr>
        <w:t xml:space="preserve"> </w:t>
      </w:r>
      <w:r w:rsidR="00EC31B2" w:rsidRPr="009455E7">
        <w:rPr>
          <w:rFonts w:ascii="Source Sans Pro" w:hAnsi="Source Sans Pro"/>
          <w:b/>
          <w:bCs/>
          <w:lang w:eastAsia="pt-PT"/>
        </w:rPr>
        <w:t xml:space="preserve">– Posição em </w:t>
      </w:r>
      <w:r w:rsidR="00B36E31">
        <w:rPr>
          <w:rFonts w:ascii="Source Sans Pro" w:hAnsi="Source Sans Pro"/>
          <w:b/>
          <w:bCs/>
          <w:lang w:eastAsia="pt-PT"/>
        </w:rPr>
        <w:t>jul</w:t>
      </w:r>
      <w:r w:rsidR="00BA6292" w:rsidRPr="009455E7">
        <w:rPr>
          <w:rFonts w:ascii="Source Sans Pro" w:hAnsi="Source Sans Pro"/>
          <w:b/>
          <w:bCs/>
          <w:lang w:eastAsia="pt-PT"/>
        </w:rPr>
        <w:t>h</w:t>
      </w:r>
      <w:r w:rsidR="001F46C7" w:rsidRPr="009455E7">
        <w:rPr>
          <w:rFonts w:ascii="Source Sans Pro" w:hAnsi="Source Sans Pro"/>
          <w:b/>
          <w:bCs/>
          <w:lang w:eastAsia="pt-PT"/>
        </w:rPr>
        <w:t>o</w:t>
      </w:r>
      <w:r w:rsidR="00EC31B2" w:rsidRPr="009455E7">
        <w:rPr>
          <w:rFonts w:ascii="Source Sans Pro" w:hAnsi="Source Sans Pro"/>
          <w:b/>
          <w:bCs/>
          <w:lang w:eastAsia="pt-PT"/>
        </w:rPr>
        <w:t xml:space="preserve"> </w:t>
      </w:r>
      <w:r w:rsidR="00F5344B" w:rsidRPr="009455E7">
        <w:rPr>
          <w:rFonts w:ascii="Source Sans Pro" w:hAnsi="Source Sans Pro"/>
          <w:b/>
          <w:bCs/>
          <w:lang w:eastAsia="pt-PT"/>
        </w:rPr>
        <w:t xml:space="preserve">da </w:t>
      </w:r>
      <w:r w:rsidR="00EC31B2" w:rsidRPr="009455E7">
        <w:rPr>
          <w:rFonts w:ascii="Source Sans Pro" w:hAnsi="Source Sans Pro"/>
          <w:b/>
          <w:bCs/>
          <w:lang w:eastAsia="pt-PT"/>
        </w:rPr>
        <w:t>Execução dos maiores projetos</w:t>
      </w:r>
      <w:r w:rsidR="000A5206" w:rsidRPr="009455E7">
        <w:rPr>
          <w:rFonts w:ascii="Source Sans Pro" w:hAnsi="Source Sans Pro"/>
          <w:bCs/>
          <w:color w:val="000000" w:themeColor="text1"/>
          <w:sz w:val="20"/>
          <w:szCs w:val="20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613E0E" w:rsidRPr="009455E7">
        <w:rPr>
          <w:rFonts w:ascii="Source Sans Pro" w:hAnsi="Source Sans Pro"/>
          <w:bCs/>
          <w:color w:val="000000" w:themeColor="text1"/>
          <w:sz w:val="20"/>
          <w:szCs w:val="20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37B0" w:rsidRPr="000137B0">
        <w:rPr>
          <w:noProof/>
          <w:lang w:eastAsia="pt-PT"/>
        </w:rPr>
        <w:drawing>
          <wp:inline distT="0" distB="0" distL="0" distR="0">
            <wp:extent cx="8940537" cy="5577840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997" cy="55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64" w:rsidRPr="009455E7" w:rsidRDefault="00EF72CC" w:rsidP="00EF72CC">
      <w:pPr>
        <w:pStyle w:val="PargrafodaLista"/>
        <w:tabs>
          <w:tab w:val="left" w:pos="9072"/>
        </w:tabs>
        <w:spacing w:line="360" w:lineRule="auto"/>
        <w:ind w:left="153" w:right="14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9455E7"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Fonte: MF</w:t>
      </w:r>
      <w:r w:rsidR="00AA24B6" w:rsidRPr="009455E7">
        <w:rPr>
          <w:rFonts w:ascii="Source Sans Pro" w:hAnsi="Source Sans Pro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</w:t>
      </w:r>
      <w:r w:rsidR="00247F64"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br w:type="page"/>
      </w:r>
    </w:p>
    <w:p w:rsidR="00613E0E" w:rsidRPr="009455E7" w:rsidRDefault="00613E0E" w:rsidP="00B76710">
      <w:pPr>
        <w:tabs>
          <w:tab w:val="left" w:pos="0"/>
          <w:tab w:val="left" w:pos="284"/>
        </w:tabs>
        <w:ind w:right="140"/>
        <w:contextualSpacing/>
        <w:jc w:val="both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  <w:sectPr w:rsidR="00613E0E" w:rsidRPr="009455E7" w:rsidSect="00083100">
          <w:headerReference w:type="default" r:id="rId20"/>
          <w:pgSz w:w="16838" w:h="11906" w:orient="landscape"/>
          <w:pgMar w:top="993" w:right="1560" w:bottom="1134" w:left="1276" w:header="568" w:footer="421" w:gutter="0"/>
          <w:cols w:space="708"/>
          <w:titlePg/>
          <w:docGrid w:linePitch="360"/>
        </w:sectPr>
      </w:pPr>
    </w:p>
    <w:p w:rsidR="00B76710" w:rsidRPr="009455E7" w:rsidRDefault="00B76710" w:rsidP="00B76710">
      <w:pPr>
        <w:pStyle w:val="PargrafodaLista"/>
        <w:tabs>
          <w:tab w:val="left" w:pos="0"/>
          <w:tab w:val="left" w:pos="284"/>
        </w:tabs>
        <w:suppressAutoHyphens w:val="0"/>
        <w:autoSpaceDN/>
        <w:ind w:left="0" w:right="14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bookmarkStart w:id="22" w:name="_Toc72504434"/>
    </w:p>
    <w:p w:rsidR="00747A95" w:rsidRPr="009455E7" w:rsidRDefault="00747A95" w:rsidP="00DF3DC8">
      <w:pPr>
        <w:pStyle w:val="PargrafodaLista"/>
        <w:numPr>
          <w:ilvl w:val="0"/>
          <w:numId w:val="3"/>
        </w:numPr>
        <w:tabs>
          <w:tab w:val="left" w:pos="0"/>
          <w:tab w:val="left" w:pos="284"/>
        </w:tabs>
        <w:suppressAutoHyphens w:val="0"/>
        <w:autoSpaceDN/>
        <w:ind w:left="0" w:right="140" w:firstLine="0"/>
        <w:contextualSpacing/>
        <w:jc w:val="both"/>
        <w:textAlignment w:val="auto"/>
        <w:outlineLvl w:val="0"/>
        <w:rPr>
          <w:rFonts w:ascii="Source Sans Pro" w:hAnsi="Source Sans Pro"/>
          <w:b/>
          <w:bCs/>
          <w:color w:val="2F5496" w:themeColor="accent5" w:themeShade="BF"/>
          <w:lang w:eastAsia="pt-PT"/>
        </w:rPr>
      </w:pPr>
      <w:r w:rsidRPr="009455E7">
        <w:rPr>
          <w:rFonts w:ascii="Source Sans Pro" w:hAnsi="Source Sans Pro"/>
          <w:b/>
          <w:bCs/>
          <w:color w:val="2F5496" w:themeColor="accent5" w:themeShade="BF"/>
          <w:lang w:eastAsia="pt-PT"/>
        </w:rPr>
        <w:t>Dívida Pública</w:t>
      </w:r>
      <w:bookmarkEnd w:id="22"/>
    </w:p>
    <w:p w:rsidR="00C31413" w:rsidRPr="009455E7" w:rsidRDefault="00C31413" w:rsidP="00C31413">
      <w:p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 w:cstheme="minorHAnsi"/>
          <w:bCs/>
          <w:sz w:val="10"/>
          <w:szCs w:val="10"/>
        </w:rPr>
      </w:pPr>
    </w:p>
    <w:p w:rsidR="000D4026" w:rsidRPr="009455E7" w:rsidRDefault="00C31413" w:rsidP="00C31413">
      <w:p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 w:cstheme="minorHAnsi"/>
          <w:bCs/>
          <w:sz w:val="24"/>
          <w:szCs w:val="24"/>
        </w:rPr>
      </w:pPr>
      <w:r w:rsidRPr="009455E7">
        <w:rPr>
          <w:rFonts w:ascii="Source Sans Pro" w:hAnsi="Source Sans Pro" w:cstheme="minorHAnsi"/>
          <w:bCs/>
          <w:sz w:val="24"/>
          <w:szCs w:val="24"/>
        </w:rPr>
        <w:t>O stock da dívida pública, excluindo os TCMF, atingiu</w:t>
      </w:r>
      <w:r w:rsidR="006E25C8" w:rsidRPr="009455E7">
        <w:rPr>
          <w:rFonts w:ascii="Source Sans Pro" w:hAnsi="Source Sans Pro" w:cstheme="minorHAnsi"/>
          <w:bCs/>
          <w:sz w:val="24"/>
          <w:szCs w:val="24"/>
        </w:rPr>
        <w:t xml:space="preserve"> 2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6</w:t>
      </w:r>
      <w:r w:rsidR="00A512CA">
        <w:rPr>
          <w:rFonts w:ascii="Source Sans Pro" w:hAnsi="Source Sans Pro" w:cstheme="minorHAnsi"/>
          <w:bCs/>
          <w:sz w:val="24"/>
          <w:szCs w:val="24"/>
        </w:rPr>
        <w:t>9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.</w:t>
      </w:r>
      <w:r w:rsidR="00A512CA">
        <w:rPr>
          <w:rFonts w:ascii="Source Sans Pro" w:hAnsi="Source Sans Pro" w:cstheme="minorHAnsi"/>
          <w:bCs/>
          <w:sz w:val="24"/>
          <w:szCs w:val="24"/>
        </w:rPr>
        <w:t>658</w:t>
      </w:r>
      <w:r w:rsidR="00AA7127" w:rsidRPr="009455E7">
        <w:rPr>
          <w:rFonts w:ascii="Source Sans Pro" w:hAnsi="Source Sans Pro" w:cstheme="minorHAnsi"/>
          <w:bCs/>
          <w:sz w:val="24"/>
          <w:szCs w:val="24"/>
        </w:rPr>
        <w:t>,</w:t>
      </w:r>
      <w:r w:rsidR="00A512CA">
        <w:rPr>
          <w:rFonts w:ascii="Source Sans Pro" w:hAnsi="Source Sans Pro" w:cstheme="minorHAnsi"/>
          <w:bCs/>
          <w:sz w:val="24"/>
          <w:szCs w:val="24"/>
        </w:rPr>
        <w:t>6</w:t>
      </w:r>
      <w:r w:rsidRPr="009455E7">
        <w:rPr>
          <w:rFonts w:ascii="Source Sans Pro" w:hAnsi="Source Sans Pro" w:cstheme="minorHAnsi"/>
          <w:bCs/>
          <w:sz w:val="24"/>
          <w:szCs w:val="24"/>
        </w:rPr>
        <w:t xml:space="preserve"> milhões de CVE, em 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31</w:t>
      </w:r>
      <w:r w:rsidR="008D30D5" w:rsidRPr="009455E7">
        <w:rPr>
          <w:rFonts w:ascii="Source Sans Pro" w:hAnsi="Source Sans Pro" w:cstheme="minorHAnsi"/>
          <w:bCs/>
          <w:sz w:val="24"/>
          <w:szCs w:val="24"/>
        </w:rPr>
        <w:t xml:space="preserve"> </w:t>
      </w:r>
      <w:r w:rsidRPr="009455E7">
        <w:rPr>
          <w:rFonts w:ascii="Source Sans Pro" w:hAnsi="Source Sans Pro" w:cstheme="minorHAnsi"/>
          <w:bCs/>
          <w:sz w:val="24"/>
          <w:szCs w:val="24"/>
        </w:rPr>
        <w:t xml:space="preserve">de 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jul</w:t>
      </w:r>
      <w:r w:rsidR="00030EFE" w:rsidRPr="009455E7">
        <w:rPr>
          <w:rFonts w:ascii="Source Sans Pro" w:hAnsi="Source Sans Pro" w:cstheme="minorHAnsi"/>
          <w:bCs/>
          <w:sz w:val="24"/>
          <w:szCs w:val="24"/>
        </w:rPr>
        <w:t>ho</w:t>
      </w:r>
      <w:r w:rsidR="005640A5" w:rsidRPr="009455E7">
        <w:rPr>
          <w:rFonts w:ascii="Source Sans Pro" w:hAnsi="Source Sans Pro" w:cstheme="minorHAnsi"/>
          <w:bCs/>
          <w:sz w:val="24"/>
          <w:szCs w:val="24"/>
        </w:rPr>
        <w:t xml:space="preserve"> de</w:t>
      </w:r>
      <w:r w:rsidR="006E25C8" w:rsidRPr="009455E7">
        <w:rPr>
          <w:rFonts w:ascii="Source Sans Pro" w:hAnsi="Source Sans Pro" w:cstheme="minorHAnsi"/>
          <w:bCs/>
          <w:sz w:val="24"/>
          <w:szCs w:val="24"/>
        </w:rPr>
        <w:t xml:space="preserve"> 2</w:t>
      </w:r>
      <w:r w:rsidR="008F6D3C" w:rsidRPr="009455E7">
        <w:rPr>
          <w:rFonts w:ascii="Source Sans Pro" w:hAnsi="Source Sans Pro" w:cstheme="minorHAnsi"/>
          <w:bCs/>
          <w:sz w:val="24"/>
          <w:szCs w:val="24"/>
        </w:rPr>
        <w:t xml:space="preserve">021, cabendo à </w:t>
      </w:r>
      <w:r w:rsidR="000D0682" w:rsidRPr="009455E7">
        <w:rPr>
          <w:rFonts w:ascii="Source Sans Pro" w:hAnsi="Source Sans Pro" w:cstheme="minorHAnsi"/>
          <w:bCs/>
          <w:sz w:val="24"/>
          <w:szCs w:val="24"/>
        </w:rPr>
        <w:t xml:space="preserve">dívida interna 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82.986,4</w:t>
      </w:r>
      <w:r w:rsidRPr="009455E7">
        <w:rPr>
          <w:rFonts w:ascii="Source Sans Pro" w:hAnsi="Source Sans Pro" w:cstheme="minorHAnsi"/>
          <w:bCs/>
          <w:sz w:val="24"/>
          <w:szCs w:val="24"/>
        </w:rPr>
        <w:t xml:space="preserve"> milhões de CVE (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4</w:t>
      </w:r>
      <w:r w:rsidR="009C0707">
        <w:rPr>
          <w:rFonts w:ascii="Source Sans Pro" w:hAnsi="Source Sans Pro" w:cstheme="minorHAnsi"/>
          <w:bCs/>
          <w:sz w:val="24"/>
          <w:szCs w:val="24"/>
        </w:rPr>
        <w:t>7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,</w:t>
      </w:r>
      <w:r w:rsidR="009C0707">
        <w:rPr>
          <w:rFonts w:ascii="Source Sans Pro" w:hAnsi="Source Sans Pro" w:cstheme="minorHAnsi"/>
          <w:bCs/>
          <w:sz w:val="24"/>
          <w:szCs w:val="24"/>
        </w:rPr>
        <w:t>3</w:t>
      </w:r>
      <w:r w:rsidR="006E25C8" w:rsidRPr="009455E7">
        <w:rPr>
          <w:rFonts w:ascii="Source Sans Pro" w:hAnsi="Source Sans Pro" w:cstheme="minorHAnsi"/>
          <w:bCs/>
          <w:sz w:val="24"/>
          <w:szCs w:val="24"/>
        </w:rPr>
        <w:t>% do PIB) e à dívida externa 1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8</w:t>
      </w:r>
      <w:r w:rsidR="00A512CA">
        <w:rPr>
          <w:rFonts w:ascii="Source Sans Pro" w:hAnsi="Source Sans Pro" w:cstheme="minorHAnsi"/>
          <w:bCs/>
          <w:sz w:val="24"/>
          <w:szCs w:val="24"/>
        </w:rPr>
        <w:t>6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.</w:t>
      </w:r>
      <w:r w:rsidR="00A512CA">
        <w:rPr>
          <w:rFonts w:ascii="Source Sans Pro" w:hAnsi="Source Sans Pro" w:cstheme="minorHAnsi"/>
          <w:bCs/>
          <w:sz w:val="24"/>
          <w:szCs w:val="24"/>
        </w:rPr>
        <w:t>672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,</w:t>
      </w:r>
      <w:r w:rsidR="00A512CA">
        <w:rPr>
          <w:rFonts w:ascii="Source Sans Pro" w:hAnsi="Source Sans Pro" w:cstheme="minorHAnsi"/>
          <w:bCs/>
          <w:sz w:val="24"/>
          <w:szCs w:val="24"/>
        </w:rPr>
        <w:t>2</w:t>
      </w:r>
      <w:r w:rsidRPr="009455E7">
        <w:rPr>
          <w:rFonts w:ascii="Source Sans Pro" w:hAnsi="Source Sans Pro" w:cstheme="minorHAnsi"/>
          <w:bCs/>
          <w:sz w:val="24"/>
          <w:szCs w:val="24"/>
        </w:rPr>
        <w:t xml:space="preserve"> milhões de CVE (</w:t>
      </w:r>
      <w:r w:rsidR="000D0682" w:rsidRPr="009455E7">
        <w:rPr>
          <w:rFonts w:ascii="Source Sans Pro" w:hAnsi="Source Sans Pro" w:cstheme="minorHAnsi"/>
          <w:bCs/>
          <w:sz w:val="24"/>
          <w:szCs w:val="24"/>
        </w:rPr>
        <w:t>10</w:t>
      </w:r>
      <w:r w:rsidR="00A512CA">
        <w:rPr>
          <w:rFonts w:ascii="Source Sans Pro" w:hAnsi="Source Sans Pro" w:cstheme="minorHAnsi"/>
          <w:bCs/>
          <w:sz w:val="24"/>
          <w:szCs w:val="24"/>
        </w:rPr>
        <w:t>6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,</w:t>
      </w:r>
      <w:r w:rsidR="00A512CA">
        <w:rPr>
          <w:rFonts w:ascii="Source Sans Pro" w:hAnsi="Source Sans Pro" w:cstheme="minorHAnsi"/>
          <w:bCs/>
          <w:sz w:val="24"/>
          <w:szCs w:val="24"/>
        </w:rPr>
        <w:t>3</w:t>
      </w:r>
      <w:r w:rsidRPr="009455E7">
        <w:rPr>
          <w:rFonts w:ascii="Source Sans Pro" w:hAnsi="Source Sans Pro" w:cstheme="minorHAnsi"/>
          <w:bCs/>
          <w:sz w:val="24"/>
          <w:szCs w:val="24"/>
        </w:rPr>
        <w:t>% do PIB). Nesta sequência, o rácio dívida pública/PIB atingiu os 1</w:t>
      </w:r>
      <w:r w:rsidR="00A512CA">
        <w:rPr>
          <w:rFonts w:ascii="Source Sans Pro" w:hAnsi="Source Sans Pro" w:cstheme="minorHAnsi"/>
          <w:bCs/>
          <w:sz w:val="24"/>
          <w:szCs w:val="24"/>
        </w:rPr>
        <w:t>53</w:t>
      </w:r>
      <w:r w:rsidR="00253C5A" w:rsidRPr="009455E7">
        <w:rPr>
          <w:rFonts w:ascii="Source Sans Pro" w:hAnsi="Source Sans Pro" w:cstheme="minorHAnsi"/>
          <w:bCs/>
          <w:sz w:val="24"/>
          <w:szCs w:val="24"/>
        </w:rPr>
        <w:t>,</w:t>
      </w:r>
      <w:r w:rsidR="00A512CA">
        <w:rPr>
          <w:rFonts w:ascii="Source Sans Pro" w:hAnsi="Source Sans Pro" w:cstheme="minorHAnsi"/>
          <w:bCs/>
          <w:sz w:val="24"/>
          <w:szCs w:val="24"/>
        </w:rPr>
        <w:t>6</w:t>
      </w:r>
      <w:r w:rsidRPr="009455E7">
        <w:rPr>
          <w:rFonts w:ascii="Source Sans Pro" w:hAnsi="Source Sans Pro" w:cstheme="minorHAnsi"/>
          <w:bCs/>
          <w:sz w:val="24"/>
          <w:szCs w:val="24"/>
        </w:rPr>
        <w:t xml:space="preserve">%, cerca </w:t>
      </w:r>
      <w:r w:rsidR="00702A9D" w:rsidRPr="009455E7">
        <w:rPr>
          <w:rFonts w:ascii="Source Sans Pro" w:hAnsi="Source Sans Pro" w:cstheme="minorHAnsi"/>
          <w:bCs/>
          <w:sz w:val="24"/>
          <w:szCs w:val="24"/>
        </w:rPr>
        <w:t xml:space="preserve">de </w:t>
      </w:r>
      <w:r w:rsidR="008240C0">
        <w:rPr>
          <w:rFonts w:ascii="Source Sans Pro" w:hAnsi="Source Sans Pro" w:cstheme="minorHAnsi"/>
          <w:bCs/>
          <w:sz w:val="24"/>
          <w:szCs w:val="24"/>
        </w:rPr>
        <w:t>3</w:t>
      </w:r>
      <w:r w:rsidR="00BF761D">
        <w:rPr>
          <w:rFonts w:ascii="Source Sans Pro" w:hAnsi="Source Sans Pro" w:cstheme="minorHAnsi"/>
          <w:bCs/>
          <w:sz w:val="24"/>
          <w:szCs w:val="24"/>
        </w:rPr>
        <w:t>,</w:t>
      </w:r>
      <w:r w:rsidR="008240C0">
        <w:rPr>
          <w:rFonts w:ascii="Source Sans Pro" w:hAnsi="Source Sans Pro" w:cstheme="minorHAnsi"/>
          <w:bCs/>
          <w:sz w:val="24"/>
          <w:szCs w:val="24"/>
        </w:rPr>
        <w:t>2</w:t>
      </w:r>
      <w:r w:rsidRPr="009455E7">
        <w:rPr>
          <w:rFonts w:ascii="Source Sans Pro" w:hAnsi="Source Sans Pro" w:cstheme="minorHAnsi"/>
          <w:bCs/>
          <w:sz w:val="24"/>
          <w:szCs w:val="24"/>
        </w:rPr>
        <w:t xml:space="preserve"> p.p. </w:t>
      </w:r>
      <w:r w:rsidR="007B32DA" w:rsidRPr="009455E7">
        <w:rPr>
          <w:rFonts w:ascii="Source Sans Pro" w:hAnsi="Source Sans Pro" w:cstheme="minorHAnsi"/>
          <w:bCs/>
          <w:sz w:val="24"/>
          <w:szCs w:val="24"/>
        </w:rPr>
        <w:t>a</w:t>
      </w:r>
      <w:r w:rsidR="00C5388A" w:rsidRPr="009455E7">
        <w:rPr>
          <w:rFonts w:ascii="Source Sans Pro" w:hAnsi="Source Sans Pro" w:cstheme="minorHAnsi"/>
          <w:bCs/>
          <w:sz w:val="24"/>
          <w:szCs w:val="24"/>
        </w:rPr>
        <w:t>cima</w:t>
      </w:r>
      <w:r w:rsidRPr="009455E7">
        <w:rPr>
          <w:rFonts w:ascii="Source Sans Pro" w:hAnsi="Source Sans Pro" w:cstheme="minorHAnsi"/>
          <w:bCs/>
          <w:sz w:val="24"/>
          <w:szCs w:val="24"/>
        </w:rPr>
        <w:t xml:space="preserve"> do valor registado em </w:t>
      </w:r>
      <w:r w:rsidR="00E82DB1" w:rsidRPr="009455E7">
        <w:rPr>
          <w:rFonts w:ascii="Source Sans Pro" w:hAnsi="Source Sans Pro" w:cstheme="minorHAnsi"/>
          <w:bCs/>
          <w:sz w:val="24"/>
          <w:szCs w:val="24"/>
        </w:rPr>
        <w:t>julh</w:t>
      </w:r>
      <w:r w:rsidR="0000740A" w:rsidRPr="009455E7">
        <w:rPr>
          <w:rFonts w:ascii="Source Sans Pro" w:hAnsi="Source Sans Pro" w:cstheme="minorHAnsi"/>
          <w:bCs/>
          <w:sz w:val="24"/>
          <w:szCs w:val="24"/>
        </w:rPr>
        <w:t>o</w:t>
      </w:r>
      <w:r w:rsidR="005640A5" w:rsidRPr="009455E7">
        <w:rPr>
          <w:rFonts w:ascii="Source Sans Pro" w:hAnsi="Source Sans Pro" w:cstheme="minorHAnsi"/>
          <w:bCs/>
          <w:sz w:val="24"/>
          <w:szCs w:val="24"/>
        </w:rPr>
        <w:t xml:space="preserve"> </w:t>
      </w:r>
      <w:r w:rsidR="006E25C8" w:rsidRPr="009455E7">
        <w:rPr>
          <w:rFonts w:ascii="Source Sans Pro" w:hAnsi="Source Sans Pro" w:cstheme="minorHAnsi"/>
          <w:bCs/>
          <w:sz w:val="24"/>
          <w:szCs w:val="24"/>
        </w:rPr>
        <w:t>de 2020</w:t>
      </w:r>
      <w:r w:rsidR="007B32DA" w:rsidRPr="009455E7">
        <w:rPr>
          <w:rStyle w:val="Refdenotaderodap"/>
          <w:rFonts w:ascii="Source Sans Pro" w:hAnsi="Source Sans Pro" w:cstheme="minorHAnsi"/>
          <w:bCs/>
          <w:sz w:val="24"/>
          <w:szCs w:val="24"/>
        </w:rPr>
        <w:footnoteReference w:id="2"/>
      </w:r>
      <w:r w:rsidR="00D371ED" w:rsidRPr="009455E7">
        <w:rPr>
          <w:rFonts w:ascii="Source Sans Pro" w:hAnsi="Source Sans Pro" w:cstheme="minorHAnsi"/>
          <w:bCs/>
          <w:sz w:val="24"/>
          <w:szCs w:val="24"/>
        </w:rPr>
        <w:t>.</w:t>
      </w:r>
      <w:r w:rsidR="000D4026" w:rsidRPr="009455E7">
        <w:rPr>
          <w:rFonts w:ascii="Source Sans Pro" w:hAnsi="Source Sans Pro" w:cstheme="minorHAnsi"/>
          <w:bCs/>
          <w:sz w:val="24"/>
          <w:szCs w:val="24"/>
        </w:rPr>
        <w:t xml:space="preserve"> </w:t>
      </w:r>
    </w:p>
    <w:p w:rsidR="00AA24B6" w:rsidRPr="009455E7" w:rsidRDefault="00AA24B6" w:rsidP="00C31413">
      <w:pPr>
        <w:tabs>
          <w:tab w:val="left" w:pos="9072"/>
        </w:tabs>
        <w:spacing w:line="360" w:lineRule="auto"/>
        <w:ind w:right="140"/>
        <w:jc w:val="both"/>
        <w:rPr>
          <w:rFonts w:ascii="Source Sans Pro" w:hAnsi="Source Sans Pro" w:cstheme="minorHAnsi"/>
          <w:bCs/>
          <w:color w:val="FF0000"/>
          <w:sz w:val="10"/>
          <w:szCs w:val="10"/>
        </w:rPr>
      </w:pPr>
    </w:p>
    <w:p w:rsidR="008F6D3C" w:rsidRPr="009455E7" w:rsidRDefault="001D76B2" w:rsidP="008F6D3C">
      <w:pPr>
        <w:tabs>
          <w:tab w:val="left" w:pos="9072"/>
        </w:tabs>
        <w:spacing w:after="0" w:line="360" w:lineRule="auto"/>
        <w:ind w:right="140"/>
        <w:jc w:val="center"/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</w:pPr>
      <w:r w:rsidRPr="009455E7"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  <w:t xml:space="preserve">Quadro </w:t>
      </w:r>
      <w:r w:rsidR="00787387" w:rsidRPr="009455E7"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  <w:t>8</w:t>
      </w:r>
      <w:r w:rsidR="008E06DE" w:rsidRPr="009455E7"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  <w:t xml:space="preserve"> </w:t>
      </w:r>
      <w:r w:rsidR="00C31413" w:rsidRPr="009455E7">
        <w:rPr>
          <w:rFonts w:ascii="Source Sans Pro" w:eastAsia="Times New Roman" w:hAnsi="Source Sans Pro" w:cs="Times New Roman"/>
          <w:b/>
          <w:bCs/>
          <w:sz w:val="24"/>
          <w:szCs w:val="24"/>
          <w:lang w:eastAsia="pt-PT"/>
        </w:rPr>
        <w:t>– Evolução da Dívida Pública</w:t>
      </w:r>
    </w:p>
    <w:p w:rsidR="00A512CA" w:rsidRPr="009455E7" w:rsidRDefault="00A512CA" w:rsidP="008F6D3C">
      <w:pPr>
        <w:tabs>
          <w:tab w:val="left" w:pos="9072"/>
        </w:tabs>
        <w:spacing w:after="0" w:line="360" w:lineRule="auto"/>
        <w:ind w:right="140"/>
        <w:jc w:val="center"/>
        <w:rPr>
          <w:rFonts w:ascii="Source Sans Pro" w:eastAsia="Times New Roman" w:hAnsi="Source Sans Pro" w:cs="Times New Roman"/>
          <w:b/>
          <w:bCs/>
          <w:color w:val="FF0000"/>
          <w:sz w:val="24"/>
          <w:szCs w:val="24"/>
          <w:lang w:eastAsia="pt-PT"/>
        </w:rPr>
      </w:pPr>
      <w:r w:rsidRPr="00A512CA">
        <w:rPr>
          <w:noProof/>
          <w:lang w:eastAsia="pt-PT"/>
        </w:rPr>
        <w:drawing>
          <wp:inline distT="0" distB="0" distL="0" distR="0">
            <wp:extent cx="5162550" cy="868045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DF" w:rsidRPr="00E82DB1" w:rsidRDefault="00787387" w:rsidP="000337DF">
      <w:pPr>
        <w:tabs>
          <w:tab w:val="left" w:pos="9072"/>
        </w:tabs>
        <w:spacing w:after="0" w:line="360" w:lineRule="auto"/>
        <w:ind w:right="140"/>
        <w:rPr>
          <w:rFonts w:eastAsia="Times New Roman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55E7">
        <w:rPr>
          <w:rFonts w:eastAsia="Times New Roman" w:cs="Times New Roman"/>
          <w:bCs/>
          <w:sz w:val="20"/>
          <w:szCs w:val="20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63AFE" w:rsidRPr="009455E7">
        <w:rPr>
          <w:rFonts w:eastAsia="Times New Roman" w:cs="Times New Roman"/>
          <w:bCs/>
          <w:sz w:val="20"/>
          <w:szCs w:val="20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0337DF" w:rsidRPr="009455E7">
        <w:rPr>
          <w:rFonts w:eastAsia="Times New Roman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Fonte: MF</w:t>
      </w:r>
      <w:r w:rsidR="00AA24B6" w:rsidRPr="009455E7">
        <w:rPr>
          <w:rFonts w:eastAsia="Times New Roman" w:cs="Times New Roman"/>
          <w:bCs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</w:t>
      </w:r>
    </w:p>
    <w:p w:rsidR="000337DF" w:rsidRPr="00724B98" w:rsidRDefault="000337DF" w:rsidP="00DE72C8">
      <w:pPr>
        <w:tabs>
          <w:tab w:val="left" w:pos="9072"/>
        </w:tabs>
        <w:spacing w:after="0" w:line="360" w:lineRule="auto"/>
        <w:ind w:right="140"/>
        <w:jc w:val="center"/>
        <w:rPr>
          <w:rFonts w:eastAsia="Times New Roman" w:cs="Times New Roman"/>
          <w:bCs/>
          <w:color w:val="FF0000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73FDB" w:rsidRPr="00537801" w:rsidRDefault="00573FDB" w:rsidP="00DE72C8">
      <w:pPr>
        <w:tabs>
          <w:tab w:val="left" w:pos="9072"/>
        </w:tabs>
        <w:spacing w:after="0" w:line="360" w:lineRule="auto"/>
        <w:ind w:right="140"/>
        <w:jc w:val="center"/>
        <w:rPr>
          <w:rFonts w:eastAsia="Times New Roman" w:cs="Times New Roman"/>
          <w:bCs/>
          <w:color w:val="000000" w:themeColor="text1"/>
          <w:sz w:val="18"/>
          <w:szCs w:val="18"/>
          <w:lang w:eastAsia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73FDB" w:rsidRPr="00537801" w:rsidSect="00083100">
      <w:headerReference w:type="first" r:id="rId22"/>
      <w:pgSz w:w="11906" w:h="16838"/>
      <w:pgMar w:top="1560" w:right="1701" w:bottom="1276" w:left="1701" w:header="708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E60" w:rsidRDefault="00260E60" w:rsidP="005239A8">
      <w:pPr>
        <w:spacing w:after="0" w:line="240" w:lineRule="auto"/>
      </w:pPr>
      <w:r>
        <w:separator/>
      </w:r>
    </w:p>
  </w:endnote>
  <w:endnote w:type="continuationSeparator" w:id="0">
    <w:p w:rsidR="00260E60" w:rsidRDefault="00260E60" w:rsidP="005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969980"/>
      <w:docPartObj>
        <w:docPartGallery w:val="Page Numbers (Bottom of Page)"/>
        <w:docPartUnique/>
      </w:docPartObj>
    </w:sdtPr>
    <w:sdtEndPr/>
    <w:sdtContent>
      <w:p w:rsidR="00AF06A9" w:rsidRDefault="00AF06A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45B">
          <w:rPr>
            <w:noProof/>
          </w:rPr>
          <w:t>14</w:t>
        </w:r>
        <w:r>
          <w:fldChar w:fldCharType="end"/>
        </w:r>
      </w:p>
    </w:sdtContent>
  </w:sdt>
  <w:p w:rsidR="00AF06A9" w:rsidRDefault="00AF06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00" w:rsidRDefault="00083100" w:rsidP="009B2C8A">
    <w:pPr>
      <w:pStyle w:val="Rodap"/>
      <w:jc w:val="center"/>
    </w:pPr>
  </w:p>
  <w:p w:rsidR="00083100" w:rsidRPr="00083100" w:rsidRDefault="00083100" w:rsidP="000831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E60" w:rsidRDefault="00260E60" w:rsidP="005239A8">
      <w:pPr>
        <w:spacing w:after="0" w:line="240" w:lineRule="auto"/>
      </w:pPr>
      <w:r>
        <w:separator/>
      </w:r>
    </w:p>
  </w:footnote>
  <w:footnote w:type="continuationSeparator" w:id="0">
    <w:p w:rsidR="00260E60" w:rsidRDefault="00260E60" w:rsidP="005239A8">
      <w:pPr>
        <w:spacing w:after="0" w:line="240" w:lineRule="auto"/>
      </w:pPr>
      <w:r>
        <w:continuationSeparator/>
      </w:r>
    </w:p>
  </w:footnote>
  <w:footnote w:id="1">
    <w:p w:rsidR="007E3E5B" w:rsidRDefault="007E3E5B">
      <w:pPr>
        <w:pStyle w:val="Textodenotaderodap"/>
      </w:pPr>
      <w:r>
        <w:rPr>
          <w:rStyle w:val="Refdenotaderodap"/>
        </w:rPr>
        <w:footnoteRef/>
      </w:r>
      <w:r>
        <w:t xml:space="preserve"> Considerou-se o PIB reprogramado (175.616 milhões de CVE), sendo que o PIB projetado inicialmente aquando da proposta do OE 2021 foi de 1</w:t>
      </w:r>
      <w:r w:rsidR="00972E28">
        <w:t>94</w:t>
      </w:r>
      <w:r>
        <w:t>.</w:t>
      </w:r>
      <w:r w:rsidR="00972E28">
        <w:t>320</w:t>
      </w:r>
      <w:r>
        <w:t xml:space="preserve"> milhões de CVE.</w:t>
      </w:r>
    </w:p>
  </w:footnote>
  <w:footnote w:id="2">
    <w:p w:rsidR="00A618E1" w:rsidRDefault="00A618E1" w:rsidP="00A618E1">
      <w:pPr>
        <w:pStyle w:val="Textodenotaderodap"/>
        <w:jc w:val="both"/>
      </w:pPr>
      <w:r w:rsidRPr="006D1017">
        <w:rPr>
          <w:rStyle w:val="Refdenotaderodap"/>
        </w:rPr>
        <w:footnoteRef/>
      </w:r>
      <w:r w:rsidR="00F249A9" w:rsidRPr="006D1017">
        <w:t xml:space="preserve"> O PIB utilizado para o cá</w:t>
      </w:r>
      <w:r w:rsidR="00213513" w:rsidRPr="006D1017">
        <w:t xml:space="preserve">lculo do rácio em </w:t>
      </w:r>
      <w:r w:rsidRPr="006D1017">
        <w:t>2020 é o PIB ajustado a reprogramação para o referido ano, nos termos apresentado pela DNP, ou seja, 16</w:t>
      </w:r>
      <w:r w:rsidR="006D1017" w:rsidRPr="006D1017">
        <w:t>4</w:t>
      </w:r>
      <w:r w:rsidRPr="006D1017">
        <w:t>.</w:t>
      </w:r>
      <w:r w:rsidR="006D1017" w:rsidRPr="006D1017">
        <w:t>9</w:t>
      </w:r>
      <w:r w:rsidRPr="006D1017">
        <w:t xml:space="preserve">11 milhões de CVE (o PIB inicialmente utilizado aquando da </w:t>
      </w:r>
      <w:r w:rsidR="00213513" w:rsidRPr="006D1017">
        <w:t xml:space="preserve">apresentação da conta mensal </w:t>
      </w:r>
      <w:r w:rsidRPr="006D1017">
        <w:t>2020 foi o projetado para o Orçamento inicial de 2020, cerca de 211.095 milhões de CVE, em que foi apresentado um stock da dívida em percentagem do PIB de 1</w:t>
      </w:r>
      <w:r w:rsidR="00F45FC8">
        <w:t>35</w:t>
      </w:r>
      <w:r w:rsidR="00016CB4">
        <w:t>,</w:t>
      </w:r>
      <w:r w:rsidR="00F45FC8">
        <w:t>0</w:t>
      </w:r>
      <w:r w:rsidR="005C6C48">
        <w:t>%</w:t>
      </w:r>
      <w:r w:rsidRPr="006D1017">
        <w:t>.</w:t>
      </w:r>
    </w:p>
    <w:p w:rsidR="00AF06A9" w:rsidRPr="00A618E1" w:rsidRDefault="00AF06A9" w:rsidP="00A618E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6A9" w:rsidRPr="005239A8" w:rsidRDefault="00AF06A9" w:rsidP="005239A8">
    <w:pPr>
      <w:pStyle w:val="Cabealho"/>
      <w:tabs>
        <w:tab w:val="clear" w:pos="8504"/>
      </w:tabs>
      <w:rPr>
        <w:u w:val="thick" w:color="2F5496" w:themeColor="accent5" w:themeShade="BF"/>
      </w:rPr>
    </w:pPr>
    <w:r w:rsidRPr="005239A8">
      <w:rPr>
        <w:u w:val="thick" w:color="2F5496" w:themeColor="accent5" w:themeShade="BF"/>
      </w:rPr>
      <w:t xml:space="preserve">Síntese de Execução Orçamental                                          </w:t>
    </w:r>
    <w:r>
      <w:rPr>
        <w:u w:val="thick" w:color="2F5496" w:themeColor="accent5" w:themeShade="BF"/>
      </w:rPr>
      <w:t xml:space="preserve">              </w:t>
    </w:r>
    <w:r w:rsidRPr="005239A8">
      <w:rPr>
        <w:u w:val="thick" w:color="2F5496" w:themeColor="accent5" w:themeShade="BF"/>
      </w:rPr>
      <w:t xml:space="preserve">       </w:t>
    </w:r>
    <w:r w:rsidRPr="005239A8">
      <w:rPr>
        <w:noProof/>
        <w:u w:val="thick" w:color="2F5496" w:themeColor="accent5" w:themeShade="BF"/>
        <w:lang w:eastAsia="pt-PT"/>
      </w:rPr>
      <w:drawing>
        <wp:inline distT="0" distB="0" distL="0" distR="0" wp14:anchorId="26B2BFDA" wp14:editId="3276D30F">
          <wp:extent cx="1562100" cy="387350"/>
          <wp:effectExtent l="0" t="0" r="0" b="0"/>
          <wp:docPr id="20" name="Imagem 20" descr="Branding Governo de Cabo Verde_Finanç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nding Governo de Cabo Verde_Finanç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0E" w:rsidRPr="005239A8" w:rsidRDefault="00613E0E" w:rsidP="005239A8">
    <w:pPr>
      <w:pStyle w:val="Cabealho"/>
      <w:tabs>
        <w:tab w:val="clear" w:pos="8504"/>
      </w:tabs>
      <w:rPr>
        <w:u w:val="thick" w:color="2F5496" w:themeColor="accent5" w:themeShade="BF"/>
      </w:rPr>
    </w:pPr>
    <w:r w:rsidRPr="005239A8">
      <w:rPr>
        <w:u w:val="thick" w:color="2F5496" w:themeColor="accent5" w:themeShade="BF"/>
      </w:rPr>
      <w:t xml:space="preserve">Síntese de Execução Orçamental                                          </w:t>
    </w:r>
    <w:r>
      <w:rPr>
        <w:u w:val="thick" w:color="2F5496" w:themeColor="accent5" w:themeShade="BF"/>
      </w:rPr>
      <w:t xml:space="preserve">              </w:t>
    </w:r>
    <w:r w:rsidRPr="005239A8">
      <w:rPr>
        <w:u w:val="thick" w:color="2F5496" w:themeColor="accent5" w:themeShade="BF"/>
      </w:rPr>
      <w:t xml:space="preserve">       </w:t>
    </w:r>
    <w:r w:rsidRPr="005239A8">
      <w:rPr>
        <w:noProof/>
        <w:u w:val="thick" w:color="2F5496" w:themeColor="accent5" w:themeShade="BF"/>
        <w:lang w:eastAsia="pt-PT"/>
      </w:rPr>
      <w:drawing>
        <wp:inline distT="0" distB="0" distL="0" distR="0" wp14:anchorId="6827E940" wp14:editId="5E2C3D5A">
          <wp:extent cx="1562100" cy="387350"/>
          <wp:effectExtent l="0" t="0" r="0" b="0"/>
          <wp:docPr id="21" name="Imagem 21" descr="Branding Governo de Cabo Verde_Finanç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nding Governo de Cabo Verde_Finanç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E0E" w:rsidRPr="005239A8" w:rsidRDefault="00613E0E" w:rsidP="00613E0E">
    <w:pPr>
      <w:pStyle w:val="Cabealho"/>
      <w:tabs>
        <w:tab w:val="clear" w:pos="8504"/>
      </w:tabs>
      <w:rPr>
        <w:u w:val="thick" w:color="2F5496" w:themeColor="accent5" w:themeShade="BF"/>
      </w:rPr>
    </w:pPr>
    <w:r w:rsidRPr="005239A8">
      <w:rPr>
        <w:u w:val="thick" w:color="2F5496" w:themeColor="accent5" w:themeShade="BF"/>
      </w:rPr>
      <w:t xml:space="preserve">Síntese de Execução Orçamental                                          </w:t>
    </w:r>
    <w:r>
      <w:rPr>
        <w:u w:val="thick" w:color="2F5496" w:themeColor="accent5" w:themeShade="BF"/>
      </w:rPr>
      <w:t xml:space="preserve">              </w:t>
    </w:r>
    <w:r w:rsidRPr="005239A8">
      <w:rPr>
        <w:u w:val="thick" w:color="2F5496" w:themeColor="accent5" w:themeShade="BF"/>
      </w:rPr>
      <w:t xml:space="preserve">       </w:t>
    </w:r>
    <w:r w:rsidRPr="005239A8">
      <w:rPr>
        <w:noProof/>
        <w:u w:val="thick" w:color="2F5496" w:themeColor="accent5" w:themeShade="BF"/>
        <w:lang w:eastAsia="pt-PT"/>
      </w:rPr>
      <w:drawing>
        <wp:inline distT="0" distB="0" distL="0" distR="0" wp14:anchorId="2BC0F58B" wp14:editId="24989E2E">
          <wp:extent cx="1562100" cy="387350"/>
          <wp:effectExtent l="0" t="0" r="0" b="0"/>
          <wp:docPr id="5" name="Imagem 5" descr="Branding Governo de Cabo Verde_Finanç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nding Governo de Cabo Verde_Finanç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3E0E" w:rsidRDefault="00613E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4B92"/>
    <w:multiLevelType w:val="hybridMultilevel"/>
    <w:tmpl w:val="3B463738"/>
    <w:lvl w:ilvl="0" w:tplc="D85AB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C75"/>
    <w:multiLevelType w:val="multilevel"/>
    <w:tmpl w:val="8F4845BA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1F4E79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A06C00"/>
    <w:multiLevelType w:val="hybridMultilevel"/>
    <w:tmpl w:val="00E488B6"/>
    <w:lvl w:ilvl="0" w:tplc="6CE4BF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05C9"/>
    <w:multiLevelType w:val="multilevel"/>
    <w:tmpl w:val="E2069760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strike w:val="0"/>
        <w:color w:val="2F5496" w:themeColor="accent5" w:themeShade="BF"/>
        <w:sz w:val="24"/>
        <w:szCs w:val="24"/>
      </w:rPr>
    </w:lvl>
    <w:lvl w:ilvl="1">
      <w:start w:val="1"/>
      <w:numFmt w:val="lowerRoman"/>
      <w:lvlText w:val="(%2)"/>
      <w:lvlJc w:val="left"/>
      <w:pPr>
        <w:ind w:left="-347" w:hanging="360"/>
      </w:pPr>
      <w:rPr>
        <w:rFonts w:ascii="Source Sans Pro" w:hAnsi="Source Sans Pro" w:hint="default"/>
        <w:b w:val="0"/>
        <w:color w:val="44546A" w:themeColor="text2"/>
      </w:rPr>
    </w:lvl>
    <w:lvl w:ilvl="2">
      <w:start w:val="1"/>
      <w:numFmt w:val="bullet"/>
      <w:lvlText w:val=""/>
      <w:lvlJc w:val="left"/>
      <w:pPr>
        <w:ind w:left="322" w:hanging="180"/>
      </w:pPr>
      <w:rPr>
        <w:rFonts w:ascii="Symbol" w:hAnsi="Symbol" w:hint="default"/>
        <w:b w:val="0"/>
        <w:i/>
        <w:color w:val="2E74B5" w:themeColor="accent1" w:themeShade="BF"/>
        <w:sz w:val="24"/>
        <w:szCs w:val="24"/>
      </w:rPr>
    </w:lvl>
    <w:lvl w:ilvl="3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  <w:color w:val="44546A" w:themeColor="text2"/>
      </w:rPr>
    </w:lvl>
    <w:lvl w:ilvl="4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2533" w:hanging="18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32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693" w:hanging="180"/>
      </w:pPr>
      <w:rPr>
        <w:rFonts w:hint="default"/>
      </w:rPr>
    </w:lvl>
  </w:abstractNum>
  <w:abstractNum w:abstractNumId="4" w15:restartNumberingAfterBreak="0">
    <w:nsid w:val="14FD50D6"/>
    <w:multiLevelType w:val="hybridMultilevel"/>
    <w:tmpl w:val="BEC64DAA"/>
    <w:lvl w:ilvl="0" w:tplc="728CED6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2E74B5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E683B57"/>
    <w:multiLevelType w:val="hybridMultilevel"/>
    <w:tmpl w:val="88EC401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986"/>
    <w:multiLevelType w:val="hybridMultilevel"/>
    <w:tmpl w:val="3918D6BC"/>
    <w:lvl w:ilvl="0" w:tplc="2B4C7210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  <w:color w:val="2F5496" w:themeColor="accent5" w:themeShade="BF"/>
      </w:rPr>
    </w:lvl>
    <w:lvl w:ilvl="1" w:tplc="0816001B">
      <w:start w:val="1"/>
      <w:numFmt w:val="lowerRoman"/>
      <w:lvlText w:val="%2."/>
      <w:lvlJc w:val="right"/>
      <w:pPr>
        <w:ind w:left="873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22F2636F"/>
    <w:multiLevelType w:val="hybridMultilevel"/>
    <w:tmpl w:val="2EB41780"/>
    <w:lvl w:ilvl="0" w:tplc="EC46F6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C6087"/>
    <w:multiLevelType w:val="hybridMultilevel"/>
    <w:tmpl w:val="68248892"/>
    <w:lvl w:ilvl="0" w:tplc="113454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5" w:themeShade="BF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33B1"/>
    <w:multiLevelType w:val="hybridMultilevel"/>
    <w:tmpl w:val="9D0693DA"/>
    <w:lvl w:ilvl="0" w:tplc="113454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5" w:themeShade="BF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D7B37"/>
    <w:multiLevelType w:val="hybridMultilevel"/>
    <w:tmpl w:val="D62251B0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92C74"/>
    <w:multiLevelType w:val="hybridMultilevel"/>
    <w:tmpl w:val="C01A516C"/>
    <w:lvl w:ilvl="0" w:tplc="113454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5" w:themeShade="BF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96661"/>
    <w:multiLevelType w:val="hybridMultilevel"/>
    <w:tmpl w:val="BA4A5C8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2614E"/>
    <w:multiLevelType w:val="multilevel"/>
    <w:tmpl w:val="7CC2C092"/>
    <w:lvl w:ilvl="0">
      <w:start w:val="126"/>
      <w:numFmt w:val="decimal"/>
      <w:lvlText w:val="%1."/>
      <w:lvlJc w:val="left"/>
      <w:pPr>
        <w:ind w:left="644" w:hanging="360"/>
      </w:pPr>
      <w:rPr>
        <w:rFonts w:ascii="Gill Sans MT" w:hAnsi="Gill Sans MT" w:hint="default"/>
        <w:b w:val="0"/>
        <w:strike w:val="0"/>
        <w:color w:val="44546A" w:themeColor="text2"/>
        <w:sz w:val="24"/>
        <w:szCs w:val="24"/>
      </w:rPr>
    </w:lvl>
    <w:lvl w:ilvl="1">
      <w:start w:val="1"/>
      <w:numFmt w:val="bullet"/>
      <w:lvlText w:val="o"/>
      <w:lvlJc w:val="left"/>
      <w:pPr>
        <w:ind w:left="-63" w:hanging="360"/>
      </w:pPr>
      <w:rPr>
        <w:rFonts w:ascii="Courier New" w:hAnsi="Courier New" w:cs="Courier New" w:hint="default"/>
        <w:b w:val="0"/>
        <w:color w:val="2F5496" w:themeColor="accent5" w:themeShade="BF"/>
      </w:rPr>
    </w:lvl>
    <w:lvl w:ilvl="2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b w:val="0"/>
        <w:i/>
        <w:color w:val="2E74B5" w:themeColor="accent1" w:themeShade="BF"/>
        <w:sz w:val="24"/>
        <w:szCs w:val="24"/>
      </w:rPr>
    </w:lvl>
    <w:lvl w:ilvl="3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  <w:color w:val="44546A" w:themeColor="text2"/>
      </w:rPr>
    </w:lvl>
    <w:lvl w:ilvl="4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2817" w:hanging="18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35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77" w:hanging="180"/>
      </w:pPr>
      <w:rPr>
        <w:rFonts w:hint="default"/>
      </w:rPr>
    </w:lvl>
  </w:abstractNum>
  <w:abstractNum w:abstractNumId="14" w15:restartNumberingAfterBreak="0">
    <w:nsid w:val="44244D46"/>
    <w:multiLevelType w:val="hybridMultilevel"/>
    <w:tmpl w:val="5C3A80A4"/>
    <w:lvl w:ilvl="0" w:tplc="6CE4BF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3016E3"/>
    <w:multiLevelType w:val="hybridMultilevel"/>
    <w:tmpl w:val="3918D6BC"/>
    <w:lvl w:ilvl="0" w:tplc="2B4C7210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  <w:color w:val="2F5496" w:themeColor="accent5" w:themeShade="BF"/>
      </w:rPr>
    </w:lvl>
    <w:lvl w:ilvl="1" w:tplc="0816001B">
      <w:start w:val="1"/>
      <w:numFmt w:val="lowerRoman"/>
      <w:lvlText w:val="%2."/>
      <w:lvlJc w:val="right"/>
      <w:pPr>
        <w:ind w:left="873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47147EE6"/>
    <w:multiLevelType w:val="multilevel"/>
    <w:tmpl w:val="8F4845BA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1F4E79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2D6DE3"/>
    <w:multiLevelType w:val="hybridMultilevel"/>
    <w:tmpl w:val="D26050F4"/>
    <w:lvl w:ilvl="0" w:tplc="728CE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03B3A"/>
    <w:multiLevelType w:val="multilevel"/>
    <w:tmpl w:val="FDB804FE"/>
    <w:lvl w:ilvl="0">
      <w:start w:val="1"/>
      <w:numFmt w:val="decimal"/>
      <w:lvlText w:val="%1."/>
      <w:lvlJc w:val="left"/>
      <w:pPr>
        <w:ind w:left="360" w:hanging="360"/>
      </w:pPr>
      <w:rPr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6A770E"/>
    <w:multiLevelType w:val="multilevel"/>
    <w:tmpl w:val="B4C68130"/>
    <w:lvl w:ilvl="0">
      <w:start w:val="62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strike w:val="0"/>
        <w:color w:val="44546A" w:themeColor="text2"/>
        <w:sz w:val="24"/>
        <w:szCs w:val="24"/>
      </w:rPr>
    </w:lvl>
    <w:lvl w:ilvl="1">
      <w:start w:val="1"/>
      <w:numFmt w:val="lowerRoman"/>
      <w:lvlText w:val="(%2)"/>
      <w:lvlJc w:val="left"/>
      <w:pPr>
        <w:ind w:left="-63" w:hanging="360"/>
      </w:pPr>
      <w:rPr>
        <w:rFonts w:ascii="Source Sans Pro" w:hAnsi="Source Sans Pro" w:hint="default"/>
        <w:b w:val="0"/>
        <w:color w:val="44546A" w:themeColor="text2"/>
      </w:rPr>
    </w:lvl>
    <w:lvl w:ilvl="2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b w:val="0"/>
        <w:i/>
        <w:color w:val="2E74B5" w:themeColor="accent1" w:themeShade="BF"/>
        <w:sz w:val="24"/>
        <w:szCs w:val="24"/>
      </w:rPr>
    </w:lvl>
    <w:lvl w:ilvl="3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  <w:color w:val="44546A" w:themeColor="text2"/>
      </w:rPr>
    </w:lvl>
    <w:lvl w:ilvl="4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2817" w:hanging="18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35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77" w:hanging="180"/>
      </w:pPr>
      <w:rPr>
        <w:rFonts w:hint="default"/>
      </w:rPr>
    </w:lvl>
  </w:abstractNum>
  <w:abstractNum w:abstractNumId="20" w15:restartNumberingAfterBreak="0">
    <w:nsid w:val="4B926DAD"/>
    <w:multiLevelType w:val="hybridMultilevel"/>
    <w:tmpl w:val="25E0791E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400357"/>
    <w:multiLevelType w:val="hybridMultilevel"/>
    <w:tmpl w:val="B9A45C06"/>
    <w:lvl w:ilvl="0" w:tplc="08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2" w15:restartNumberingAfterBreak="0">
    <w:nsid w:val="50BA3096"/>
    <w:multiLevelType w:val="hybridMultilevel"/>
    <w:tmpl w:val="6024DB2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970AB7"/>
    <w:multiLevelType w:val="hybridMultilevel"/>
    <w:tmpl w:val="3D1A7998"/>
    <w:lvl w:ilvl="0" w:tplc="2A600884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5D42642B"/>
    <w:multiLevelType w:val="multilevel"/>
    <w:tmpl w:val="8F4845BA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1F4E79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2A084F"/>
    <w:multiLevelType w:val="multilevel"/>
    <w:tmpl w:val="7CC2C092"/>
    <w:lvl w:ilvl="0">
      <w:start w:val="126"/>
      <w:numFmt w:val="decimal"/>
      <w:lvlText w:val="%1."/>
      <w:lvlJc w:val="left"/>
      <w:pPr>
        <w:ind w:left="644" w:hanging="360"/>
      </w:pPr>
      <w:rPr>
        <w:rFonts w:ascii="Gill Sans MT" w:hAnsi="Gill Sans MT" w:hint="default"/>
        <w:b w:val="0"/>
        <w:strike w:val="0"/>
        <w:color w:val="44546A" w:themeColor="text2"/>
        <w:sz w:val="24"/>
        <w:szCs w:val="24"/>
      </w:rPr>
    </w:lvl>
    <w:lvl w:ilvl="1">
      <w:start w:val="1"/>
      <w:numFmt w:val="bullet"/>
      <w:lvlText w:val="o"/>
      <w:lvlJc w:val="left"/>
      <w:pPr>
        <w:ind w:left="-63" w:hanging="360"/>
      </w:pPr>
      <w:rPr>
        <w:rFonts w:ascii="Courier New" w:hAnsi="Courier New" w:cs="Courier New" w:hint="default"/>
        <w:b w:val="0"/>
        <w:color w:val="2F5496" w:themeColor="accent5" w:themeShade="BF"/>
      </w:rPr>
    </w:lvl>
    <w:lvl w:ilvl="2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b w:val="0"/>
        <w:i/>
        <w:color w:val="2E74B5" w:themeColor="accent1" w:themeShade="BF"/>
        <w:sz w:val="24"/>
        <w:szCs w:val="24"/>
      </w:rPr>
    </w:lvl>
    <w:lvl w:ilvl="3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  <w:color w:val="44546A" w:themeColor="text2"/>
      </w:rPr>
    </w:lvl>
    <w:lvl w:ilvl="4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2817" w:hanging="18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35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77" w:hanging="180"/>
      </w:pPr>
      <w:rPr>
        <w:rFonts w:hint="default"/>
      </w:rPr>
    </w:lvl>
  </w:abstractNum>
  <w:abstractNum w:abstractNumId="26" w15:restartNumberingAfterBreak="0">
    <w:nsid w:val="66B909B9"/>
    <w:multiLevelType w:val="hybridMultilevel"/>
    <w:tmpl w:val="8154DB8C"/>
    <w:lvl w:ilvl="0" w:tplc="6CE4BF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47522"/>
    <w:multiLevelType w:val="multilevel"/>
    <w:tmpl w:val="8F4845BA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1F4E79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3E2D08"/>
    <w:multiLevelType w:val="hybridMultilevel"/>
    <w:tmpl w:val="8CAAC18E"/>
    <w:lvl w:ilvl="0" w:tplc="E40E8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12D9"/>
    <w:multiLevelType w:val="multilevel"/>
    <w:tmpl w:val="E2985F34"/>
    <w:lvl w:ilvl="0">
      <w:start w:val="126"/>
      <w:numFmt w:val="decimal"/>
      <w:lvlText w:val="%1."/>
      <w:lvlJc w:val="left"/>
      <w:pPr>
        <w:ind w:left="644" w:hanging="360"/>
      </w:pPr>
      <w:rPr>
        <w:rFonts w:ascii="Gill Sans MT" w:hAnsi="Gill Sans MT" w:hint="default"/>
        <w:b w:val="0"/>
        <w:strike w:val="0"/>
        <w:color w:val="44546A" w:themeColor="text2"/>
        <w:sz w:val="24"/>
        <w:szCs w:val="24"/>
      </w:rPr>
    </w:lvl>
    <w:lvl w:ilvl="1">
      <w:start w:val="1"/>
      <w:numFmt w:val="lowerRoman"/>
      <w:lvlText w:val="(%2)"/>
      <w:lvlJc w:val="left"/>
      <w:pPr>
        <w:ind w:left="786" w:hanging="360"/>
      </w:pPr>
      <w:rPr>
        <w:rFonts w:ascii="Source Sans Pro" w:hAnsi="Source Sans Pro" w:hint="default"/>
        <w:b w:val="0"/>
        <w:color w:val="44546A" w:themeColor="text2"/>
      </w:rPr>
    </w:lvl>
    <w:lvl w:ilvl="2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b w:val="0"/>
        <w:i/>
        <w:color w:val="2E74B5" w:themeColor="accent1" w:themeShade="BF"/>
        <w:sz w:val="24"/>
        <w:szCs w:val="24"/>
      </w:rPr>
    </w:lvl>
    <w:lvl w:ilvl="3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  <w:color w:val="44546A" w:themeColor="text2"/>
      </w:rPr>
    </w:lvl>
    <w:lvl w:ilvl="4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2817" w:hanging="18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35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77" w:hanging="180"/>
      </w:pPr>
      <w:rPr>
        <w:rFonts w:hint="default"/>
      </w:rPr>
    </w:lvl>
  </w:abstractNum>
  <w:abstractNum w:abstractNumId="30" w15:restartNumberingAfterBreak="0">
    <w:nsid w:val="77EE2B12"/>
    <w:multiLevelType w:val="multilevel"/>
    <w:tmpl w:val="8F4845BA"/>
    <w:lvl w:ilvl="0">
      <w:start w:val="1"/>
      <w:numFmt w:val="decimal"/>
      <w:lvlText w:val="%1."/>
      <w:lvlJc w:val="left"/>
      <w:pPr>
        <w:ind w:left="360" w:hanging="360"/>
      </w:pPr>
      <w:rPr>
        <w:b/>
        <w:color w:val="2F5496" w:themeColor="accent5" w:themeShade="BF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1F4E79" w:themeColor="accent1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D7545"/>
    <w:multiLevelType w:val="hybridMultilevel"/>
    <w:tmpl w:val="44A0FEF2"/>
    <w:lvl w:ilvl="0" w:tplc="6CE4BF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5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30"/>
  </w:num>
  <w:num w:numId="4">
    <w:abstractNumId w:val="11"/>
  </w:num>
  <w:num w:numId="5">
    <w:abstractNumId w:val="23"/>
  </w:num>
  <w:num w:numId="6">
    <w:abstractNumId w:val="10"/>
  </w:num>
  <w:num w:numId="7">
    <w:abstractNumId w:val="7"/>
  </w:num>
  <w:num w:numId="8">
    <w:abstractNumId w:val="13"/>
  </w:num>
  <w:num w:numId="9">
    <w:abstractNumId w:val="12"/>
  </w:num>
  <w:num w:numId="10">
    <w:abstractNumId w:val="25"/>
  </w:num>
  <w:num w:numId="11">
    <w:abstractNumId w:val="15"/>
  </w:num>
  <w:num w:numId="12">
    <w:abstractNumId w:val="29"/>
  </w:num>
  <w:num w:numId="13">
    <w:abstractNumId w:val="19"/>
  </w:num>
  <w:num w:numId="14">
    <w:abstractNumId w:val="22"/>
  </w:num>
  <w:num w:numId="15">
    <w:abstractNumId w:val="2"/>
  </w:num>
  <w:num w:numId="16">
    <w:abstractNumId w:val="14"/>
  </w:num>
  <w:num w:numId="17">
    <w:abstractNumId w:val="26"/>
  </w:num>
  <w:num w:numId="18">
    <w:abstractNumId w:val="31"/>
  </w:num>
  <w:num w:numId="19">
    <w:abstractNumId w:val="24"/>
  </w:num>
  <w:num w:numId="20">
    <w:abstractNumId w:val="5"/>
  </w:num>
  <w:num w:numId="21">
    <w:abstractNumId w:val="4"/>
  </w:num>
  <w:num w:numId="22">
    <w:abstractNumId w:val="1"/>
  </w:num>
  <w:num w:numId="23">
    <w:abstractNumId w:val="20"/>
  </w:num>
  <w:num w:numId="24">
    <w:abstractNumId w:val="17"/>
  </w:num>
  <w:num w:numId="25">
    <w:abstractNumId w:val="16"/>
  </w:num>
  <w:num w:numId="26">
    <w:abstractNumId w:val="27"/>
  </w:num>
  <w:num w:numId="27">
    <w:abstractNumId w:val="21"/>
  </w:num>
  <w:num w:numId="28">
    <w:abstractNumId w:val="6"/>
  </w:num>
  <w:num w:numId="29">
    <w:abstractNumId w:val="28"/>
  </w:num>
  <w:num w:numId="30">
    <w:abstractNumId w:val="8"/>
  </w:num>
  <w:num w:numId="31">
    <w:abstractNumId w:val="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54"/>
    <w:rsid w:val="00000DA2"/>
    <w:rsid w:val="000014EB"/>
    <w:rsid w:val="00002016"/>
    <w:rsid w:val="00003055"/>
    <w:rsid w:val="0000324E"/>
    <w:rsid w:val="00003885"/>
    <w:rsid w:val="00005F45"/>
    <w:rsid w:val="0000740A"/>
    <w:rsid w:val="00007A30"/>
    <w:rsid w:val="00013143"/>
    <w:rsid w:val="000137B0"/>
    <w:rsid w:val="00016CB4"/>
    <w:rsid w:val="00021523"/>
    <w:rsid w:val="00024886"/>
    <w:rsid w:val="00026D52"/>
    <w:rsid w:val="00030EFE"/>
    <w:rsid w:val="0003245C"/>
    <w:rsid w:val="00032F64"/>
    <w:rsid w:val="000337DF"/>
    <w:rsid w:val="00036EEC"/>
    <w:rsid w:val="00041922"/>
    <w:rsid w:val="00042214"/>
    <w:rsid w:val="000439D5"/>
    <w:rsid w:val="000510C6"/>
    <w:rsid w:val="00051E4B"/>
    <w:rsid w:val="00055096"/>
    <w:rsid w:val="00055639"/>
    <w:rsid w:val="0005660E"/>
    <w:rsid w:val="00056D0E"/>
    <w:rsid w:val="000613B3"/>
    <w:rsid w:val="00061B6E"/>
    <w:rsid w:val="0006360A"/>
    <w:rsid w:val="00070555"/>
    <w:rsid w:val="00071E41"/>
    <w:rsid w:val="0008235D"/>
    <w:rsid w:val="00082901"/>
    <w:rsid w:val="00083100"/>
    <w:rsid w:val="000845D2"/>
    <w:rsid w:val="000850FB"/>
    <w:rsid w:val="000874C7"/>
    <w:rsid w:val="000911F7"/>
    <w:rsid w:val="000932EC"/>
    <w:rsid w:val="00093764"/>
    <w:rsid w:val="00094307"/>
    <w:rsid w:val="0009679B"/>
    <w:rsid w:val="000971B9"/>
    <w:rsid w:val="000A45BD"/>
    <w:rsid w:val="000A5206"/>
    <w:rsid w:val="000A7120"/>
    <w:rsid w:val="000B201D"/>
    <w:rsid w:val="000B275C"/>
    <w:rsid w:val="000B4732"/>
    <w:rsid w:val="000B559D"/>
    <w:rsid w:val="000B63C6"/>
    <w:rsid w:val="000C0DC7"/>
    <w:rsid w:val="000C2FEC"/>
    <w:rsid w:val="000C4D6D"/>
    <w:rsid w:val="000C5ACE"/>
    <w:rsid w:val="000C5F60"/>
    <w:rsid w:val="000D0682"/>
    <w:rsid w:val="000D4026"/>
    <w:rsid w:val="000D677C"/>
    <w:rsid w:val="000E7A45"/>
    <w:rsid w:val="000F2BDD"/>
    <w:rsid w:val="000F41F9"/>
    <w:rsid w:val="000F53F8"/>
    <w:rsid w:val="0010061A"/>
    <w:rsid w:val="00105526"/>
    <w:rsid w:val="001057C4"/>
    <w:rsid w:val="00107A2E"/>
    <w:rsid w:val="00107EF7"/>
    <w:rsid w:val="00114FCE"/>
    <w:rsid w:val="00120492"/>
    <w:rsid w:val="00121425"/>
    <w:rsid w:val="0012207E"/>
    <w:rsid w:val="001266E2"/>
    <w:rsid w:val="001271E0"/>
    <w:rsid w:val="001304ED"/>
    <w:rsid w:val="001319CF"/>
    <w:rsid w:val="00134F64"/>
    <w:rsid w:val="001376AC"/>
    <w:rsid w:val="00142D7A"/>
    <w:rsid w:val="0014329E"/>
    <w:rsid w:val="00143C18"/>
    <w:rsid w:val="001442AE"/>
    <w:rsid w:val="00147545"/>
    <w:rsid w:val="00150D4D"/>
    <w:rsid w:val="0015321A"/>
    <w:rsid w:val="001600BC"/>
    <w:rsid w:val="0016226A"/>
    <w:rsid w:val="00162F20"/>
    <w:rsid w:val="00164A79"/>
    <w:rsid w:val="0016699E"/>
    <w:rsid w:val="001669D7"/>
    <w:rsid w:val="001673AE"/>
    <w:rsid w:val="0017147B"/>
    <w:rsid w:val="001732C4"/>
    <w:rsid w:val="00175877"/>
    <w:rsid w:val="0017747C"/>
    <w:rsid w:val="00180227"/>
    <w:rsid w:val="001808FB"/>
    <w:rsid w:val="001845F7"/>
    <w:rsid w:val="0018577C"/>
    <w:rsid w:val="001867F3"/>
    <w:rsid w:val="00190C11"/>
    <w:rsid w:val="00190DA7"/>
    <w:rsid w:val="00197111"/>
    <w:rsid w:val="00197897"/>
    <w:rsid w:val="0019791E"/>
    <w:rsid w:val="00197A45"/>
    <w:rsid w:val="001A69BC"/>
    <w:rsid w:val="001A796C"/>
    <w:rsid w:val="001B2C3F"/>
    <w:rsid w:val="001B4D23"/>
    <w:rsid w:val="001B52E2"/>
    <w:rsid w:val="001B5E5B"/>
    <w:rsid w:val="001C0666"/>
    <w:rsid w:val="001C17F9"/>
    <w:rsid w:val="001C2C88"/>
    <w:rsid w:val="001C3D1E"/>
    <w:rsid w:val="001C3F32"/>
    <w:rsid w:val="001C62ED"/>
    <w:rsid w:val="001C69A0"/>
    <w:rsid w:val="001C7483"/>
    <w:rsid w:val="001C7F5D"/>
    <w:rsid w:val="001D012F"/>
    <w:rsid w:val="001D2DAF"/>
    <w:rsid w:val="001D6B94"/>
    <w:rsid w:val="001D76B2"/>
    <w:rsid w:val="001D7892"/>
    <w:rsid w:val="001D7922"/>
    <w:rsid w:val="001D7DE5"/>
    <w:rsid w:val="001E46C1"/>
    <w:rsid w:val="001E6757"/>
    <w:rsid w:val="001E6AE6"/>
    <w:rsid w:val="001E6AF5"/>
    <w:rsid w:val="001E7B1E"/>
    <w:rsid w:val="001F04C9"/>
    <w:rsid w:val="001F0E4F"/>
    <w:rsid w:val="001F2537"/>
    <w:rsid w:val="001F469E"/>
    <w:rsid w:val="001F46C7"/>
    <w:rsid w:val="001F71DD"/>
    <w:rsid w:val="001F7FF9"/>
    <w:rsid w:val="0020097E"/>
    <w:rsid w:val="00201CFF"/>
    <w:rsid w:val="00201DE2"/>
    <w:rsid w:val="002102A0"/>
    <w:rsid w:val="00213513"/>
    <w:rsid w:val="00213FFB"/>
    <w:rsid w:val="0021505E"/>
    <w:rsid w:val="002161E1"/>
    <w:rsid w:val="00220ECA"/>
    <w:rsid w:val="00221861"/>
    <w:rsid w:val="00230F8E"/>
    <w:rsid w:val="00231491"/>
    <w:rsid w:val="002323AE"/>
    <w:rsid w:val="00233395"/>
    <w:rsid w:val="002353BE"/>
    <w:rsid w:val="00235BE1"/>
    <w:rsid w:val="00243613"/>
    <w:rsid w:val="00247396"/>
    <w:rsid w:val="00247F64"/>
    <w:rsid w:val="00252053"/>
    <w:rsid w:val="00253C5A"/>
    <w:rsid w:val="0025477A"/>
    <w:rsid w:val="002548C2"/>
    <w:rsid w:val="00254B28"/>
    <w:rsid w:val="00257384"/>
    <w:rsid w:val="00260E60"/>
    <w:rsid w:val="00263872"/>
    <w:rsid w:val="00266215"/>
    <w:rsid w:val="00266A42"/>
    <w:rsid w:val="00267178"/>
    <w:rsid w:val="002675EC"/>
    <w:rsid w:val="00270024"/>
    <w:rsid w:val="00270052"/>
    <w:rsid w:val="00273837"/>
    <w:rsid w:val="002749B4"/>
    <w:rsid w:val="00275DE0"/>
    <w:rsid w:val="00275EFE"/>
    <w:rsid w:val="002838E8"/>
    <w:rsid w:val="00283B7B"/>
    <w:rsid w:val="0028751B"/>
    <w:rsid w:val="00290BC5"/>
    <w:rsid w:val="0029230C"/>
    <w:rsid w:val="00292AB5"/>
    <w:rsid w:val="00294265"/>
    <w:rsid w:val="00295FCF"/>
    <w:rsid w:val="00297064"/>
    <w:rsid w:val="00297946"/>
    <w:rsid w:val="002A2E7D"/>
    <w:rsid w:val="002A5094"/>
    <w:rsid w:val="002A65E4"/>
    <w:rsid w:val="002A724F"/>
    <w:rsid w:val="002B1281"/>
    <w:rsid w:val="002C4569"/>
    <w:rsid w:val="002C472C"/>
    <w:rsid w:val="002C4964"/>
    <w:rsid w:val="002C4F96"/>
    <w:rsid w:val="002C5203"/>
    <w:rsid w:val="002D178C"/>
    <w:rsid w:val="002D235B"/>
    <w:rsid w:val="002D3CA0"/>
    <w:rsid w:val="002D48D4"/>
    <w:rsid w:val="002D4DA6"/>
    <w:rsid w:val="002D6377"/>
    <w:rsid w:val="002E03F0"/>
    <w:rsid w:val="002E1304"/>
    <w:rsid w:val="002E24D8"/>
    <w:rsid w:val="002E2852"/>
    <w:rsid w:val="002E3A88"/>
    <w:rsid w:val="002E48F1"/>
    <w:rsid w:val="002E4DBF"/>
    <w:rsid w:val="002F1709"/>
    <w:rsid w:val="002F41B8"/>
    <w:rsid w:val="002F4F06"/>
    <w:rsid w:val="002F6A1F"/>
    <w:rsid w:val="002F71FE"/>
    <w:rsid w:val="002F73CC"/>
    <w:rsid w:val="0030205C"/>
    <w:rsid w:val="003032C3"/>
    <w:rsid w:val="003047D5"/>
    <w:rsid w:val="0031226F"/>
    <w:rsid w:val="00321DBB"/>
    <w:rsid w:val="003248D7"/>
    <w:rsid w:val="003277D6"/>
    <w:rsid w:val="003330FB"/>
    <w:rsid w:val="003346A6"/>
    <w:rsid w:val="003363E3"/>
    <w:rsid w:val="0034562B"/>
    <w:rsid w:val="00345BB4"/>
    <w:rsid w:val="0034786F"/>
    <w:rsid w:val="00351E9F"/>
    <w:rsid w:val="003524D8"/>
    <w:rsid w:val="0035250F"/>
    <w:rsid w:val="00352CFC"/>
    <w:rsid w:val="003539E5"/>
    <w:rsid w:val="00355020"/>
    <w:rsid w:val="003561A6"/>
    <w:rsid w:val="00363AF8"/>
    <w:rsid w:val="0036530F"/>
    <w:rsid w:val="00365C1E"/>
    <w:rsid w:val="00366AFE"/>
    <w:rsid w:val="00366E3E"/>
    <w:rsid w:val="00370F95"/>
    <w:rsid w:val="00372683"/>
    <w:rsid w:val="003749FA"/>
    <w:rsid w:val="00374B14"/>
    <w:rsid w:val="00380414"/>
    <w:rsid w:val="00381233"/>
    <w:rsid w:val="00382045"/>
    <w:rsid w:val="00382E70"/>
    <w:rsid w:val="00385294"/>
    <w:rsid w:val="0038673C"/>
    <w:rsid w:val="00386A06"/>
    <w:rsid w:val="00386CF5"/>
    <w:rsid w:val="00387637"/>
    <w:rsid w:val="00393C97"/>
    <w:rsid w:val="003951F7"/>
    <w:rsid w:val="00395CBA"/>
    <w:rsid w:val="003976A4"/>
    <w:rsid w:val="003A243E"/>
    <w:rsid w:val="003A27E3"/>
    <w:rsid w:val="003A2862"/>
    <w:rsid w:val="003A3796"/>
    <w:rsid w:val="003B51C8"/>
    <w:rsid w:val="003B5EA6"/>
    <w:rsid w:val="003C4D62"/>
    <w:rsid w:val="003C52F0"/>
    <w:rsid w:val="003C559C"/>
    <w:rsid w:val="003C6BEF"/>
    <w:rsid w:val="003C6E2D"/>
    <w:rsid w:val="003D15B2"/>
    <w:rsid w:val="003D2D08"/>
    <w:rsid w:val="003E2ECF"/>
    <w:rsid w:val="003E58A6"/>
    <w:rsid w:val="003E7359"/>
    <w:rsid w:val="003E745F"/>
    <w:rsid w:val="003E798A"/>
    <w:rsid w:val="003F469B"/>
    <w:rsid w:val="003F5F88"/>
    <w:rsid w:val="003F6366"/>
    <w:rsid w:val="003F710B"/>
    <w:rsid w:val="0040139C"/>
    <w:rsid w:val="00405119"/>
    <w:rsid w:val="004055D1"/>
    <w:rsid w:val="004057FE"/>
    <w:rsid w:val="004074B9"/>
    <w:rsid w:val="00412312"/>
    <w:rsid w:val="00412917"/>
    <w:rsid w:val="00413E39"/>
    <w:rsid w:val="004230AE"/>
    <w:rsid w:val="00423D35"/>
    <w:rsid w:val="00425438"/>
    <w:rsid w:val="00432E5B"/>
    <w:rsid w:val="004348A7"/>
    <w:rsid w:val="00435A27"/>
    <w:rsid w:val="00436836"/>
    <w:rsid w:val="00437F3E"/>
    <w:rsid w:val="004400AC"/>
    <w:rsid w:val="004404D4"/>
    <w:rsid w:val="004434FD"/>
    <w:rsid w:val="004444C9"/>
    <w:rsid w:val="0044733B"/>
    <w:rsid w:val="00452991"/>
    <w:rsid w:val="00453B05"/>
    <w:rsid w:val="004540B6"/>
    <w:rsid w:val="00454E3D"/>
    <w:rsid w:val="00463BE8"/>
    <w:rsid w:val="00464B56"/>
    <w:rsid w:val="00464B92"/>
    <w:rsid w:val="00467CBB"/>
    <w:rsid w:val="004714A8"/>
    <w:rsid w:val="00477E90"/>
    <w:rsid w:val="00477EEC"/>
    <w:rsid w:val="004801B0"/>
    <w:rsid w:val="0048726C"/>
    <w:rsid w:val="00487742"/>
    <w:rsid w:val="00487AF9"/>
    <w:rsid w:val="0049274B"/>
    <w:rsid w:val="00493DD2"/>
    <w:rsid w:val="004A0078"/>
    <w:rsid w:val="004A135B"/>
    <w:rsid w:val="004A3888"/>
    <w:rsid w:val="004A3EE3"/>
    <w:rsid w:val="004A5398"/>
    <w:rsid w:val="004A557F"/>
    <w:rsid w:val="004A66C3"/>
    <w:rsid w:val="004B4C35"/>
    <w:rsid w:val="004B51BB"/>
    <w:rsid w:val="004B6D95"/>
    <w:rsid w:val="004C0468"/>
    <w:rsid w:val="004C2A2D"/>
    <w:rsid w:val="004C2C5A"/>
    <w:rsid w:val="004C2E62"/>
    <w:rsid w:val="004C2F74"/>
    <w:rsid w:val="004C4890"/>
    <w:rsid w:val="004C72B4"/>
    <w:rsid w:val="004D34F4"/>
    <w:rsid w:val="004D4AF2"/>
    <w:rsid w:val="004D7732"/>
    <w:rsid w:val="004D7A05"/>
    <w:rsid w:val="004E4666"/>
    <w:rsid w:val="004E497E"/>
    <w:rsid w:val="004E5395"/>
    <w:rsid w:val="004E7996"/>
    <w:rsid w:val="004F177D"/>
    <w:rsid w:val="00500ACE"/>
    <w:rsid w:val="005019A3"/>
    <w:rsid w:val="00501A7B"/>
    <w:rsid w:val="00504512"/>
    <w:rsid w:val="00506F06"/>
    <w:rsid w:val="00513E96"/>
    <w:rsid w:val="00514CAA"/>
    <w:rsid w:val="005209DE"/>
    <w:rsid w:val="005222FB"/>
    <w:rsid w:val="005239A8"/>
    <w:rsid w:val="00523CEE"/>
    <w:rsid w:val="00525B26"/>
    <w:rsid w:val="00526995"/>
    <w:rsid w:val="005309C5"/>
    <w:rsid w:val="00531CA1"/>
    <w:rsid w:val="00531FA4"/>
    <w:rsid w:val="00531FB3"/>
    <w:rsid w:val="005343F3"/>
    <w:rsid w:val="0053527D"/>
    <w:rsid w:val="00535753"/>
    <w:rsid w:val="0053647D"/>
    <w:rsid w:val="00537801"/>
    <w:rsid w:val="00541B8A"/>
    <w:rsid w:val="00544ADE"/>
    <w:rsid w:val="0054798D"/>
    <w:rsid w:val="00553C5D"/>
    <w:rsid w:val="00553D9C"/>
    <w:rsid w:val="00555FB8"/>
    <w:rsid w:val="00557043"/>
    <w:rsid w:val="00557DBE"/>
    <w:rsid w:val="00560BEF"/>
    <w:rsid w:val="005611B2"/>
    <w:rsid w:val="0056224F"/>
    <w:rsid w:val="005640A5"/>
    <w:rsid w:val="0056455C"/>
    <w:rsid w:val="00565577"/>
    <w:rsid w:val="00565FFA"/>
    <w:rsid w:val="005716E8"/>
    <w:rsid w:val="0057271C"/>
    <w:rsid w:val="00572AE2"/>
    <w:rsid w:val="00572B92"/>
    <w:rsid w:val="00573FDB"/>
    <w:rsid w:val="00574399"/>
    <w:rsid w:val="00574A7C"/>
    <w:rsid w:val="0057576C"/>
    <w:rsid w:val="00575B0A"/>
    <w:rsid w:val="0058289D"/>
    <w:rsid w:val="005833E5"/>
    <w:rsid w:val="00584B3C"/>
    <w:rsid w:val="00591C14"/>
    <w:rsid w:val="00593340"/>
    <w:rsid w:val="00595DD1"/>
    <w:rsid w:val="0059712B"/>
    <w:rsid w:val="005A00A0"/>
    <w:rsid w:val="005A05AB"/>
    <w:rsid w:val="005A23D6"/>
    <w:rsid w:val="005A3CD6"/>
    <w:rsid w:val="005A3F42"/>
    <w:rsid w:val="005A7679"/>
    <w:rsid w:val="005A7CFE"/>
    <w:rsid w:val="005B036D"/>
    <w:rsid w:val="005B0B62"/>
    <w:rsid w:val="005B0F97"/>
    <w:rsid w:val="005B171D"/>
    <w:rsid w:val="005B1DBA"/>
    <w:rsid w:val="005B230F"/>
    <w:rsid w:val="005B3CDA"/>
    <w:rsid w:val="005B4271"/>
    <w:rsid w:val="005B55F5"/>
    <w:rsid w:val="005B5EEC"/>
    <w:rsid w:val="005B6D1D"/>
    <w:rsid w:val="005C6C48"/>
    <w:rsid w:val="005C6D74"/>
    <w:rsid w:val="005D26C4"/>
    <w:rsid w:val="005D2933"/>
    <w:rsid w:val="005D6C03"/>
    <w:rsid w:val="005D6E3B"/>
    <w:rsid w:val="005E022D"/>
    <w:rsid w:val="005E245B"/>
    <w:rsid w:val="005E3DFB"/>
    <w:rsid w:val="005E4E41"/>
    <w:rsid w:val="005E7E87"/>
    <w:rsid w:val="005F0033"/>
    <w:rsid w:val="005F2525"/>
    <w:rsid w:val="005F581F"/>
    <w:rsid w:val="005F756F"/>
    <w:rsid w:val="005F7EB9"/>
    <w:rsid w:val="006019D4"/>
    <w:rsid w:val="00602D23"/>
    <w:rsid w:val="00603327"/>
    <w:rsid w:val="00607BD6"/>
    <w:rsid w:val="00613E0E"/>
    <w:rsid w:val="00614A46"/>
    <w:rsid w:val="00620329"/>
    <w:rsid w:val="00620E0B"/>
    <w:rsid w:val="0062653A"/>
    <w:rsid w:val="00627C65"/>
    <w:rsid w:val="00630D05"/>
    <w:rsid w:val="00631585"/>
    <w:rsid w:val="00634C66"/>
    <w:rsid w:val="006361C3"/>
    <w:rsid w:val="00637C57"/>
    <w:rsid w:val="00642696"/>
    <w:rsid w:val="006435D5"/>
    <w:rsid w:val="00644A91"/>
    <w:rsid w:val="00644B70"/>
    <w:rsid w:val="0065002D"/>
    <w:rsid w:val="00650110"/>
    <w:rsid w:val="00650FBF"/>
    <w:rsid w:val="0065593C"/>
    <w:rsid w:val="00655C43"/>
    <w:rsid w:val="00657785"/>
    <w:rsid w:val="00664301"/>
    <w:rsid w:val="00664DEB"/>
    <w:rsid w:val="00667208"/>
    <w:rsid w:val="00671A34"/>
    <w:rsid w:val="00671FC6"/>
    <w:rsid w:val="00673F50"/>
    <w:rsid w:val="00674393"/>
    <w:rsid w:val="00675141"/>
    <w:rsid w:val="0067528F"/>
    <w:rsid w:val="006778D2"/>
    <w:rsid w:val="00681EDE"/>
    <w:rsid w:val="006834D3"/>
    <w:rsid w:val="00683CEE"/>
    <w:rsid w:val="00686652"/>
    <w:rsid w:val="00686F83"/>
    <w:rsid w:val="00687B15"/>
    <w:rsid w:val="00690B31"/>
    <w:rsid w:val="00690ED6"/>
    <w:rsid w:val="00691AAC"/>
    <w:rsid w:val="006928B0"/>
    <w:rsid w:val="00695F9E"/>
    <w:rsid w:val="0069715D"/>
    <w:rsid w:val="006A11A5"/>
    <w:rsid w:val="006A53CA"/>
    <w:rsid w:val="006B09CF"/>
    <w:rsid w:val="006B43A0"/>
    <w:rsid w:val="006B6DDD"/>
    <w:rsid w:val="006C537C"/>
    <w:rsid w:val="006C77F2"/>
    <w:rsid w:val="006C7F67"/>
    <w:rsid w:val="006D083F"/>
    <w:rsid w:val="006D1017"/>
    <w:rsid w:val="006D13F6"/>
    <w:rsid w:val="006D14BF"/>
    <w:rsid w:val="006D4DBE"/>
    <w:rsid w:val="006D4EC5"/>
    <w:rsid w:val="006D6652"/>
    <w:rsid w:val="006D7154"/>
    <w:rsid w:val="006E037E"/>
    <w:rsid w:val="006E1795"/>
    <w:rsid w:val="006E25C8"/>
    <w:rsid w:val="006E29CC"/>
    <w:rsid w:val="006E2E52"/>
    <w:rsid w:val="006E31FB"/>
    <w:rsid w:val="006E36B1"/>
    <w:rsid w:val="006E5EC6"/>
    <w:rsid w:val="006E7B3B"/>
    <w:rsid w:val="006F2D5D"/>
    <w:rsid w:val="006F3CBE"/>
    <w:rsid w:val="006F3E94"/>
    <w:rsid w:val="006F44F6"/>
    <w:rsid w:val="006F557E"/>
    <w:rsid w:val="007010D5"/>
    <w:rsid w:val="00702A9D"/>
    <w:rsid w:val="0070312D"/>
    <w:rsid w:val="00703B20"/>
    <w:rsid w:val="00704D5A"/>
    <w:rsid w:val="00704FD3"/>
    <w:rsid w:val="00706AC4"/>
    <w:rsid w:val="0070754B"/>
    <w:rsid w:val="00711DC3"/>
    <w:rsid w:val="0071210B"/>
    <w:rsid w:val="00716D1C"/>
    <w:rsid w:val="00724B98"/>
    <w:rsid w:val="0072633A"/>
    <w:rsid w:val="0072787E"/>
    <w:rsid w:val="007279FA"/>
    <w:rsid w:val="00730C39"/>
    <w:rsid w:val="00731366"/>
    <w:rsid w:val="00733D5B"/>
    <w:rsid w:val="007342D3"/>
    <w:rsid w:val="007352F9"/>
    <w:rsid w:val="00735AE7"/>
    <w:rsid w:val="007437CB"/>
    <w:rsid w:val="007446CD"/>
    <w:rsid w:val="00747A76"/>
    <w:rsid w:val="00747A95"/>
    <w:rsid w:val="007501DD"/>
    <w:rsid w:val="00754976"/>
    <w:rsid w:val="00756937"/>
    <w:rsid w:val="0076432E"/>
    <w:rsid w:val="00765863"/>
    <w:rsid w:val="007661E6"/>
    <w:rsid w:val="00773E8F"/>
    <w:rsid w:val="00775D17"/>
    <w:rsid w:val="007767A1"/>
    <w:rsid w:val="007803ED"/>
    <w:rsid w:val="00780D3B"/>
    <w:rsid w:val="0078168E"/>
    <w:rsid w:val="00782D43"/>
    <w:rsid w:val="00782F37"/>
    <w:rsid w:val="00783687"/>
    <w:rsid w:val="00783EFA"/>
    <w:rsid w:val="00786303"/>
    <w:rsid w:val="00787387"/>
    <w:rsid w:val="00787526"/>
    <w:rsid w:val="0079273C"/>
    <w:rsid w:val="0079454C"/>
    <w:rsid w:val="00794B90"/>
    <w:rsid w:val="00794C2A"/>
    <w:rsid w:val="00796795"/>
    <w:rsid w:val="007A1266"/>
    <w:rsid w:val="007A4B22"/>
    <w:rsid w:val="007A6BE2"/>
    <w:rsid w:val="007B0A42"/>
    <w:rsid w:val="007B32DA"/>
    <w:rsid w:val="007B54CF"/>
    <w:rsid w:val="007B5A23"/>
    <w:rsid w:val="007C5541"/>
    <w:rsid w:val="007C65DA"/>
    <w:rsid w:val="007C6F78"/>
    <w:rsid w:val="007D7273"/>
    <w:rsid w:val="007E05E2"/>
    <w:rsid w:val="007E29F9"/>
    <w:rsid w:val="007E3C79"/>
    <w:rsid w:val="007E3E5B"/>
    <w:rsid w:val="007E7794"/>
    <w:rsid w:val="007F16ED"/>
    <w:rsid w:val="007F25C2"/>
    <w:rsid w:val="007F3DE2"/>
    <w:rsid w:val="007F56C3"/>
    <w:rsid w:val="007F7C8A"/>
    <w:rsid w:val="00800AFD"/>
    <w:rsid w:val="00804427"/>
    <w:rsid w:val="00804C30"/>
    <w:rsid w:val="00804D37"/>
    <w:rsid w:val="0080619F"/>
    <w:rsid w:val="008110AE"/>
    <w:rsid w:val="00815064"/>
    <w:rsid w:val="0081662C"/>
    <w:rsid w:val="008169FF"/>
    <w:rsid w:val="008227D2"/>
    <w:rsid w:val="00823D03"/>
    <w:rsid w:val="008240C0"/>
    <w:rsid w:val="00825298"/>
    <w:rsid w:val="008274CF"/>
    <w:rsid w:val="00830CA9"/>
    <w:rsid w:val="00831EDF"/>
    <w:rsid w:val="0083221C"/>
    <w:rsid w:val="00840BD3"/>
    <w:rsid w:val="00841014"/>
    <w:rsid w:val="00852584"/>
    <w:rsid w:val="008600F8"/>
    <w:rsid w:val="00860DEC"/>
    <w:rsid w:val="00861031"/>
    <w:rsid w:val="00861620"/>
    <w:rsid w:val="008618B5"/>
    <w:rsid w:val="00861C84"/>
    <w:rsid w:val="008625F9"/>
    <w:rsid w:val="00863097"/>
    <w:rsid w:val="00864768"/>
    <w:rsid w:val="00865F8A"/>
    <w:rsid w:val="008755B8"/>
    <w:rsid w:val="00881212"/>
    <w:rsid w:val="00881C98"/>
    <w:rsid w:val="00884346"/>
    <w:rsid w:val="008878E0"/>
    <w:rsid w:val="0089082C"/>
    <w:rsid w:val="00891648"/>
    <w:rsid w:val="00891874"/>
    <w:rsid w:val="0089632C"/>
    <w:rsid w:val="00896A4D"/>
    <w:rsid w:val="008A0350"/>
    <w:rsid w:val="008A1B60"/>
    <w:rsid w:val="008A2716"/>
    <w:rsid w:val="008A3437"/>
    <w:rsid w:val="008A47EB"/>
    <w:rsid w:val="008A6C4B"/>
    <w:rsid w:val="008A7986"/>
    <w:rsid w:val="008B4B42"/>
    <w:rsid w:val="008B5DBF"/>
    <w:rsid w:val="008B5E01"/>
    <w:rsid w:val="008C01E9"/>
    <w:rsid w:val="008C125C"/>
    <w:rsid w:val="008C276D"/>
    <w:rsid w:val="008C3B09"/>
    <w:rsid w:val="008D0857"/>
    <w:rsid w:val="008D30D5"/>
    <w:rsid w:val="008D465C"/>
    <w:rsid w:val="008E06DE"/>
    <w:rsid w:val="008E0C43"/>
    <w:rsid w:val="008E1E84"/>
    <w:rsid w:val="008E50DC"/>
    <w:rsid w:val="008F0136"/>
    <w:rsid w:val="008F0E80"/>
    <w:rsid w:val="008F2A72"/>
    <w:rsid w:val="008F6D3C"/>
    <w:rsid w:val="00901F2D"/>
    <w:rsid w:val="0090327B"/>
    <w:rsid w:val="00903747"/>
    <w:rsid w:val="00904F12"/>
    <w:rsid w:val="009065C1"/>
    <w:rsid w:val="0090684C"/>
    <w:rsid w:val="0091145B"/>
    <w:rsid w:val="009118D6"/>
    <w:rsid w:val="009158CA"/>
    <w:rsid w:val="0092032D"/>
    <w:rsid w:val="00922009"/>
    <w:rsid w:val="00923922"/>
    <w:rsid w:val="00925001"/>
    <w:rsid w:val="009262A6"/>
    <w:rsid w:val="0092713E"/>
    <w:rsid w:val="00927682"/>
    <w:rsid w:val="0093099E"/>
    <w:rsid w:val="00931A6E"/>
    <w:rsid w:val="00933583"/>
    <w:rsid w:val="009377F4"/>
    <w:rsid w:val="00937811"/>
    <w:rsid w:val="009455E7"/>
    <w:rsid w:val="00945B41"/>
    <w:rsid w:val="00946922"/>
    <w:rsid w:val="00952067"/>
    <w:rsid w:val="009532FA"/>
    <w:rsid w:val="00953DFA"/>
    <w:rsid w:val="00955E79"/>
    <w:rsid w:val="00956BF7"/>
    <w:rsid w:val="00962E1B"/>
    <w:rsid w:val="00963A17"/>
    <w:rsid w:val="00965AD8"/>
    <w:rsid w:val="00965AE4"/>
    <w:rsid w:val="009662CB"/>
    <w:rsid w:val="009707F1"/>
    <w:rsid w:val="00972344"/>
    <w:rsid w:val="00972C51"/>
    <w:rsid w:val="00972D83"/>
    <w:rsid w:val="00972E28"/>
    <w:rsid w:val="00972F25"/>
    <w:rsid w:val="0097559A"/>
    <w:rsid w:val="0097688F"/>
    <w:rsid w:val="00977F77"/>
    <w:rsid w:val="009871D0"/>
    <w:rsid w:val="00987C76"/>
    <w:rsid w:val="0099098B"/>
    <w:rsid w:val="00993DB0"/>
    <w:rsid w:val="009A05BB"/>
    <w:rsid w:val="009A5A5E"/>
    <w:rsid w:val="009A66FC"/>
    <w:rsid w:val="009A6A40"/>
    <w:rsid w:val="009B261B"/>
    <w:rsid w:val="009B2C8A"/>
    <w:rsid w:val="009C0707"/>
    <w:rsid w:val="009C0926"/>
    <w:rsid w:val="009C09EF"/>
    <w:rsid w:val="009C249A"/>
    <w:rsid w:val="009C25EB"/>
    <w:rsid w:val="009C2661"/>
    <w:rsid w:val="009C6896"/>
    <w:rsid w:val="009C6C55"/>
    <w:rsid w:val="009D15DA"/>
    <w:rsid w:val="009D2B14"/>
    <w:rsid w:val="009D5C6B"/>
    <w:rsid w:val="009D5FC4"/>
    <w:rsid w:val="009D76D1"/>
    <w:rsid w:val="009E17A4"/>
    <w:rsid w:val="009E4C26"/>
    <w:rsid w:val="009E5A3F"/>
    <w:rsid w:val="009F08F3"/>
    <w:rsid w:val="009F26BF"/>
    <w:rsid w:val="00A01097"/>
    <w:rsid w:val="00A02AF1"/>
    <w:rsid w:val="00A030BE"/>
    <w:rsid w:val="00A03F74"/>
    <w:rsid w:val="00A06B36"/>
    <w:rsid w:val="00A16FFC"/>
    <w:rsid w:val="00A177B4"/>
    <w:rsid w:val="00A32AC3"/>
    <w:rsid w:val="00A34645"/>
    <w:rsid w:val="00A41FD5"/>
    <w:rsid w:val="00A47FAB"/>
    <w:rsid w:val="00A506D9"/>
    <w:rsid w:val="00A512A2"/>
    <w:rsid w:val="00A512CA"/>
    <w:rsid w:val="00A53859"/>
    <w:rsid w:val="00A53882"/>
    <w:rsid w:val="00A53A34"/>
    <w:rsid w:val="00A57A72"/>
    <w:rsid w:val="00A60490"/>
    <w:rsid w:val="00A618E1"/>
    <w:rsid w:val="00A66157"/>
    <w:rsid w:val="00A712EB"/>
    <w:rsid w:val="00A7381A"/>
    <w:rsid w:val="00A73EA4"/>
    <w:rsid w:val="00A76AB4"/>
    <w:rsid w:val="00A76C0D"/>
    <w:rsid w:val="00A7759B"/>
    <w:rsid w:val="00A9636C"/>
    <w:rsid w:val="00A976AC"/>
    <w:rsid w:val="00AA0018"/>
    <w:rsid w:val="00AA03C7"/>
    <w:rsid w:val="00AA24B6"/>
    <w:rsid w:val="00AA628F"/>
    <w:rsid w:val="00AA7127"/>
    <w:rsid w:val="00AB0EF2"/>
    <w:rsid w:val="00AC131A"/>
    <w:rsid w:val="00AC3629"/>
    <w:rsid w:val="00AC477E"/>
    <w:rsid w:val="00AC4CCF"/>
    <w:rsid w:val="00AC71D6"/>
    <w:rsid w:val="00AD0AA6"/>
    <w:rsid w:val="00AD5C3F"/>
    <w:rsid w:val="00AE3440"/>
    <w:rsid w:val="00AE4869"/>
    <w:rsid w:val="00AE5F8F"/>
    <w:rsid w:val="00AE7E26"/>
    <w:rsid w:val="00AF05C1"/>
    <w:rsid w:val="00AF06A9"/>
    <w:rsid w:val="00AF0CDB"/>
    <w:rsid w:val="00AF32D4"/>
    <w:rsid w:val="00AF4FF8"/>
    <w:rsid w:val="00B00EF1"/>
    <w:rsid w:val="00B02A53"/>
    <w:rsid w:val="00B07B55"/>
    <w:rsid w:val="00B112FF"/>
    <w:rsid w:val="00B140FD"/>
    <w:rsid w:val="00B1642F"/>
    <w:rsid w:val="00B17857"/>
    <w:rsid w:val="00B2074A"/>
    <w:rsid w:val="00B23D3E"/>
    <w:rsid w:val="00B2478C"/>
    <w:rsid w:val="00B26B1A"/>
    <w:rsid w:val="00B277D9"/>
    <w:rsid w:val="00B30615"/>
    <w:rsid w:val="00B31BF2"/>
    <w:rsid w:val="00B34AF5"/>
    <w:rsid w:val="00B354E8"/>
    <w:rsid w:val="00B36E31"/>
    <w:rsid w:val="00B41F68"/>
    <w:rsid w:val="00B42D93"/>
    <w:rsid w:val="00B4717B"/>
    <w:rsid w:val="00B50E7C"/>
    <w:rsid w:val="00B517DE"/>
    <w:rsid w:val="00B53269"/>
    <w:rsid w:val="00B54CA6"/>
    <w:rsid w:val="00B57002"/>
    <w:rsid w:val="00B604D2"/>
    <w:rsid w:val="00B60C44"/>
    <w:rsid w:val="00B62B03"/>
    <w:rsid w:val="00B63AFE"/>
    <w:rsid w:val="00B67866"/>
    <w:rsid w:val="00B70039"/>
    <w:rsid w:val="00B71B86"/>
    <w:rsid w:val="00B725E4"/>
    <w:rsid w:val="00B73A50"/>
    <w:rsid w:val="00B75A98"/>
    <w:rsid w:val="00B75D63"/>
    <w:rsid w:val="00B76710"/>
    <w:rsid w:val="00B778C5"/>
    <w:rsid w:val="00B80F83"/>
    <w:rsid w:val="00B81AFE"/>
    <w:rsid w:val="00B83F1A"/>
    <w:rsid w:val="00B86F05"/>
    <w:rsid w:val="00B900A9"/>
    <w:rsid w:val="00B915A3"/>
    <w:rsid w:val="00B95051"/>
    <w:rsid w:val="00B950AC"/>
    <w:rsid w:val="00B97457"/>
    <w:rsid w:val="00BA0E0E"/>
    <w:rsid w:val="00BA3183"/>
    <w:rsid w:val="00BA33BC"/>
    <w:rsid w:val="00BA4868"/>
    <w:rsid w:val="00BA5FED"/>
    <w:rsid w:val="00BA6292"/>
    <w:rsid w:val="00BB1E22"/>
    <w:rsid w:val="00BB29F6"/>
    <w:rsid w:val="00BB43DA"/>
    <w:rsid w:val="00BB67E2"/>
    <w:rsid w:val="00BB7006"/>
    <w:rsid w:val="00BB77DD"/>
    <w:rsid w:val="00BC59C6"/>
    <w:rsid w:val="00BC5E15"/>
    <w:rsid w:val="00BC7296"/>
    <w:rsid w:val="00BD0F07"/>
    <w:rsid w:val="00BD1899"/>
    <w:rsid w:val="00BD3584"/>
    <w:rsid w:val="00BD5776"/>
    <w:rsid w:val="00BD62EF"/>
    <w:rsid w:val="00BE1CC9"/>
    <w:rsid w:val="00BE246E"/>
    <w:rsid w:val="00BE27BA"/>
    <w:rsid w:val="00BE2A5F"/>
    <w:rsid w:val="00BE2FC1"/>
    <w:rsid w:val="00BE4D92"/>
    <w:rsid w:val="00BF1D10"/>
    <w:rsid w:val="00BF2E63"/>
    <w:rsid w:val="00BF34EA"/>
    <w:rsid w:val="00BF369D"/>
    <w:rsid w:val="00BF6B0C"/>
    <w:rsid w:val="00BF761D"/>
    <w:rsid w:val="00C00557"/>
    <w:rsid w:val="00C00B90"/>
    <w:rsid w:val="00C01B91"/>
    <w:rsid w:val="00C05242"/>
    <w:rsid w:val="00C062B0"/>
    <w:rsid w:val="00C0712A"/>
    <w:rsid w:val="00C07891"/>
    <w:rsid w:val="00C12F7E"/>
    <w:rsid w:val="00C13840"/>
    <w:rsid w:val="00C13DCA"/>
    <w:rsid w:val="00C14FDF"/>
    <w:rsid w:val="00C20A5A"/>
    <w:rsid w:val="00C22EEA"/>
    <w:rsid w:val="00C25BA1"/>
    <w:rsid w:val="00C27770"/>
    <w:rsid w:val="00C31413"/>
    <w:rsid w:val="00C31BE2"/>
    <w:rsid w:val="00C31CF1"/>
    <w:rsid w:val="00C340AA"/>
    <w:rsid w:val="00C341A9"/>
    <w:rsid w:val="00C35284"/>
    <w:rsid w:val="00C3681E"/>
    <w:rsid w:val="00C37171"/>
    <w:rsid w:val="00C405F9"/>
    <w:rsid w:val="00C449C8"/>
    <w:rsid w:val="00C45353"/>
    <w:rsid w:val="00C45F5B"/>
    <w:rsid w:val="00C47124"/>
    <w:rsid w:val="00C5372A"/>
    <w:rsid w:val="00C5388A"/>
    <w:rsid w:val="00C544A2"/>
    <w:rsid w:val="00C56273"/>
    <w:rsid w:val="00C56DE5"/>
    <w:rsid w:val="00C570D3"/>
    <w:rsid w:val="00C62FA6"/>
    <w:rsid w:val="00C64DE8"/>
    <w:rsid w:val="00C6639E"/>
    <w:rsid w:val="00C7264A"/>
    <w:rsid w:val="00C728E8"/>
    <w:rsid w:val="00C74935"/>
    <w:rsid w:val="00C76484"/>
    <w:rsid w:val="00C9606C"/>
    <w:rsid w:val="00C97CAB"/>
    <w:rsid w:val="00CA2A59"/>
    <w:rsid w:val="00CA3EE5"/>
    <w:rsid w:val="00CA63FF"/>
    <w:rsid w:val="00CA6DE4"/>
    <w:rsid w:val="00CA7983"/>
    <w:rsid w:val="00CB2191"/>
    <w:rsid w:val="00CB2DC7"/>
    <w:rsid w:val="00CB4E7D"/>
    <w:rsid w:val="00CB517B"/>
    <w:rsid w:val="00CC0247"/>
    <w:rsid w:val="00CC0C20"/>
    <w:rsid w:val="00CC1825"/>
    <w:rsid w:val="00CC1ECD"/>
    <w:rsid w:val="00CC5C7B"/>
    <w:rsid w:val="00CD591B"/>
    <w:rsid w:val="00CD5928"/>
    <w:rsid w:val="00CD7172"/>
    <w:rsid w:val="00CD7A43"/>
    <w:rsid w:val="00CE3120"/>
    <w:rsid w:val="00CE5AF0"/>
    <w:rsid w:val="00CE70D3"/>
    <w:rsid w:val="00CE774E"/>
    <w:rsid w:val="00CE7DED"/>
    <w:rsid w:val="00CE7F76"/>
    <w:rsid w:val="00CF2659"/>
    <w:rsid w:val="00CF3C40"/>
    <w:rsid w:val="00CF71E5"/>
    <w:rsid w:val="00D0013A"/>
    <w:rsid w:val="00D054BE"/>
    <w:rsid w:val="00D10669"/>
    <w:rsid w:val="00D12DFF"/>
    <w:rsid w:val="00D13BEE"/>
    <w:rsid w:val="00D14B40"/>
    <w:rsid w:val="00D15136"/>
    <w:rsid w:val="00D16AC0"/>
    <w:rsid w:val="00D1786B"/>
    <w:rsid w:val="00D20D53"/>
    <w:rsid w:val="00D20E6E"/>
    <w:rsid w:val="00D22FDD"/>
    <w:rsid w:val="00D25582"/>
    <w:rsid w:val="00D256E4"/>
    <w:rsid w:val="00D31682"/>
    <w:rsid w:val="00D3450B"/>
    <w:rsid w:val="00D371ED"/>
    <w:rsid w:val="00D4041F"/>
    <w:rsid w:val="00D4148A"/>
    <w:rsid w:val="00D42D11"/>
    <w:rsid w:val="00D46055"/>
    <w:rsid w:val="00D47BBF"/>
    <w:rsid w:val="00D530A2"/>
    <w:rsid w:val="00D567CA"/>
    <w:rsid w:val="00D6007F"/>
    <w:rsid w:val="00D6310A"/>
    <w:rsid w:val="00D63A5A"/>
    <w:rsid w:val="00D648C9"/>
    <w:rsid w:val="00D64C23"/>
    <w:rsid w:val="00D669AD"/>
    <w:rsid w:val="00D66F80"/>
    <w:rsid w:val="00D71FC6"/>
    <w:rsid w:val="00D7291C"/>
    <w:rsid w:val="00D73414"/>
    <w:rsid w:val="00D764D2"/>
    <w:rsid w:val="00D81AC9"/>
    <w:rsid w:val="00D836FB"/>
    <w:rsid w:val="00D86376"/>
    <w:rsid w:val="00D869E8"/>
    <w:rsid w:val="00D87866"/>
    <w:rsid w:val="00D916DD"/>
    <w:rsid w:val="00D95A6D"/>
    <w:rsid w:val="00D96C49"/>
    <w:rsid w:val="00D97119"/>
    <w:rsid w:val="00DA19C3"/>
    <w:rsid w:val="00DA2AA0"/>
    <w:rsid w:val="00DA5197"/>
    <w:rsid w:val="00DA5513"/>
    <w:rsid w:val="00DA7D8C"/>
    <w:rsid w:val="00DC0982"/>
    <w:rsid w:val="00DC1D0D"/>
    <w:rsid w:val="00DC2C16"/>
    <w:rsid w:val="00DC43FB"/>
    <w:rsid w:val="00DC4492"/>
    <w:rsid w:val="00DC5BBB"/>
    <w:rsid w:val="00DC6C95"/>
    <w:rsid w:val="00DC7731"/>
    <w:rsid w:val="00DD04BC"/>
    <w:rsid w:val="00DD30B5"/>
    <w:rsid w:val="00DD3BB3"/>
    <w:rsid w:val="00DD6BC4"/>
    <w:rsid w:val="00DE02B8"/>
    <w:rsid w:val="00DE166F"/>
    <w:rsid w:val="00DE2C9F"/>
    <w:rsid w:val="00DE38DC"/>
    <w:rsid w:val="00DE4928"/>
    <w:rsid w:val="00DE4AFE"/>
    <w:rsid w:val="00DE72C8"/>
    <w:rsid w:val="00DF04F7"/>
    <w:rsid w:val="00DF0B9C"/>
    <w:rsid w:val="00DF3DC8"/>
    <w:rsid w:val="00DF4103"/>
    <w:rsid w:val="00DF66CF"/>
    <w:rsid w:val="00E01962"/>
    <w:rsid w:val="00E0293A"/>
    <w:rsid w:val="00E03D4E"/>
    <w:rsid w:val="00E057A8"/>
    <w:rsid w:val="00E07D74"/>
    <w:rsid w:val="00E14006"/>
    <w:rsid w:val="00E142E1"/>
    <w:rsid w:val="00E1433C"/>
    <w:rsid w:val="00E17C0B"/>
    <w:rsid w:val="00E2010E"/>
    <w:rsid w:val="00E234A5"/>
    <w:rsid w:val="00E24411"/>
    <w:rsid w:val="00E26612"/>
    <w:rsid w:val="00E2748C"/>
    <w:rsid w:val="00E32F05"/>
    <w:rsid w:val="00E40410"/>
    <w:rsid w:val="00E4056A"/>
    <w:rsid w:val="00E41B86"/>
    <w:rsid w:val="00E41FFA"/>
    <w:rsid w:val="00E42020"/>
    <w:rsid w:val="00E4593F"/>
    <w:rsid w:val="00E4696A"/>
    <w:rsid w:val="00E5009C"/>
    <w:rsid w:val="00E53D9C"/>
    <w:rsid w:val="00E56862"/>
    <w:rsid w:val="00E56B2D"/>
    <w:rsid w:val="00E60DCB"/>
    <w:rsid w:val="00E61D69"/>
    <w:rsid w:val="00E642A1"/>
    <w:rsid w:val="00E654A2"/>
    <w:rsid w:val="00E70F4B"/>
    <w:rsid w:val="00E718BA"/>
    <w:rsid w:val="00E7270D"/>
    <w:rsid w:val="00E73BEA"/>
    <w:rsid w:val="00E757DD"/>
    <w:rsid w:val="00E76898"/>
    <w:rsid w:val="00E81ACB"/>
    <w:rsid w:val="00E82DB1"/>
    <w:rsid w:val="00E83BB9"/>
    <w:rsid w:val="00E83E60"/>
    <w:rsid w:val="00E90302"/>
    <w:rsid w:val="00E91DAA"/>
    <w:rsid w:val="00E94833"/>
    <w:rsid w:val="00E97B3B"/>
    <w:rsid w:val="00EA16B5"/>
    <w:rsid w:val="00EA578A"/>
    <w:rsid w:val="00EB0062"/>
    <w:rsid w:val="00EB4015"/>
    <w:rsid w:val="00EB497F"/>
    <w:rsid w:val="00EB4B05"/>
    <w:rsid w:val="00EB52CD"/>
    <w:rsid w:val="00EB6979"/>
    <w:rsid w:val="00EC31B2"/>
    <w:rsid w:val="00EC4391"/>
    <w:rsid w:val="00EC446F"/>
    <w:rsid w:val="00EC6218"/>
    <w:rsid w:val="00ED27BC"/>
    <w:rsid w:val="00ED2F68"/>
    <w:rsid w:val="00ED43C6"/>
    <w:rsid w:val="00ED485A"/>
    <w:rsid w:val="00ED739C"/>
    <w:rsid w:val="00EE38A7"/>
    <w:rsid w:val="00EF1416"/>
    <w:rsid w:val="00EF251C"/>
    <w:rsid w:val="00EF50C7"/>
    <w:rsid w:val="00EF5C94"/>
    <w:rsid w:val="00EF5F5D"/>
    <w:rsid w:val="00EF72CC"/>
    <w:rsid w:val="00F06B9E"/>
    <w:rsid w:val="00F10888"/>
    <w:rsid w:val="00F13E1A"/>
    <w:rsid w:val="00F15401"/>
    <w:rsid w:val="00F15A5D"/>
    <w:rsid w:val="00F15C6C"/>
    <w:rsid w:val="00F17314"/>
    <w:rsid w:val="00F17E62"/>
    <w:rsid w:val="00F21C83"/>
    <w:rsid w:val="00F21D43"/>
    <w:rsid w:val="00F225E2"/>
    <w:rsid w:val="00F244B1"/>
    <w:rsid w:val="00F249A9"/>
    <w:rsid w:val="00F24A76"/>
    <w:rsid w:val="00F2621E"/>
    <w:rsid w:val="00F26B1B"/>
    <w:rsid w:val="00F30F6F"/>
    <w:rsid w:val="00F32307"/>
    <w:rsid w:val="00F37A36"/>
    <w:rsid w:val="00F37E20"/>
    <w:rsid w:val="00F37E74"/>
    <w:rsid w:val="00F422AE"/>
    <w:rsid w:val="00F45FC8"/>
    <w:rsid w:val="00F46DE8"/>
    <w:rsid w:val="00F517A8"/>
    <w:rsid w:val="00F5344B"/>
    <w:rsid w:val="00F54287"/>
    <w:rsid w:val="00F558D8"/>
    <w:rsid w:val="00F5608E"/>
    <w:rsid w:val="00F563BF"/>
    <w:rsid w:val="00F61B5E"/>
    <w:rsid w:val="00F6309A"/>
    <w:rsid w:val="00F63162"/>
    <w:rsid w:val="00F634ED"/>
    <w:rsid w:val="00F65F13"/>
    <w:rsid w:val="00F66493"/>
    <w:rsid w:val="00F665AF"/>
    <w:rsid w:val="00F739BE"/>
    <w:rsid w:val="00F73AB9"/>
    <w:rsid w:val="00F74DB1"/>
    <w:rsid w:val="00F81AE6"/>
    <w:rsid w:val="00F82617"/>
    <w:rsid w:val="00F82875"/>
    <w:rsid w:val="00F82C70"/>
    <w:rsid w:val="00F833A9"/>
    <w:rsid w:val="00F838B6"/>
    <w:rsid w:val="00F86C35"/>
    <w:rsid w:val="00F87831"/>
    <w:rsid w:val="00F87B34"/>
    <w:rsid w:val="00F92698"/>
    <w:rsid w:val="00F9598D"/>
    <w:rsid w:val="00FA0F4D"/>
    <w:rsid w:val="00FA12B8"/>
    <w:rsid w:val="00FA2361"/>
    <w:rsid w:val="00FB6E9E"/>
    <w:rsid w:val="00FB7D3E"/>
    <w:rsid w:val="00FC1053"/>
    <w:rsid w:val="00FC470D"/>
    <w:rsid w:val="00FC6429"/>
    <w:rsid w:val="00FC7D9F"/>
    <w:rsid w:val="00FD0FC4"/>
    <w:rsid w:val="00FD16CB"/>
    <w:rsid w:val="00FD3137"/>
    <w:rsid w:val="00FE0CEF"/>
    <w:rsid w:val="00FE1E43"/>
    <w:rsid w:val="00FE25A4"/>
    <w:rsid w:val="00FE398B"/>
    <w:rsid w:val="00FE5712"/>
    <w:rsid w:val="00FF0399"/>
    <w:rsid w:val="00FF0E23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37EE41-966A-4E6B-958C-882E03B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018"/>
  </w:style>
  <w:style w:type="paragraph" w:styleId="Cabealho1">
    <w:name w:val="heading 1"/>
    <w:basedOn w:val="Normal"/>
    <w:next w:val="Normal"/>
    <w:link w:val="Cabealho1Carter"/>
    <w:uiPriority w:val="9"/>
    <w:qFormat/>
    <w:rsid w:val="00747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6D7154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D7154"/>
    <w:rPr>
      <w:rFonts w:eastAsiaTheme="minorEastAsia"/>
      <w:lang w:eastAsia="pt-PT"/>
    </w:rPr>
  </w:style>
  <w:style w:type="paragraph" w:styleId="PargrafodaLista">
    <w:name w:val="List Paragraph"/>
    <w:aliases w:val="Bullets,Paragraphe  revu,References,Paragraphe de liste PBLH,Paragraphe de liste1,Paragraphe de liste11,L_4,Paragraphe de liste4,Antes de enumeración,Párrafo de lista1,List Paragraph (numbered (a)),List Tables,titulo 3"/>
    <w:basedOn w:val="Normal"/>
    <w:link w:val="PargrafodaListaCarter"/>
    <w:uiPriority w:val="34"/>
    <w:qFormat/>
    <w:rsid w:val="003C52F0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arter">
    <w:name w:val="Parágrafo da Lista Caráter"/>
    <w:aliases w:val="Bullets Caráter,Paragraphe  revu Caráter,References Caráter,Paragraphe de liste PBLH Caráter,Paragraphe de liste1 Caráter,Paragraphe de liste11 Caráter,L_4 Caráter,Paragraphe de liste4 Caráter,Antes de enumeración Caráter"/>
    <w:link w:val="PargrafodaLista"/>
    <w:uiPriority w:val="34"/>
    <w:qFormat/>
    <w:locked/>
    <w:rsid w:val="003C52F0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47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747A95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47A95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747A95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23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39A8"/>
  </w:style>
  <w:style w:type="paragraph" w:styleId="Rodap">
    <w:name w:val="footer"/>
    <w:basedOn w:val="Normal"/>
    <w:link w:val="RodapCarter"/>
    <w:uiPriority w:val="99"/>
    <w:unhideWhenUsed/>
    <w:rsid w:val="00523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39A8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B32DA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B32D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B32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EAA7-FAAD-4855-839E-08867817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17</Pages>
  <Words>2885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Síntese de Execução Orçamental                         JULHO 2021</vt:lpstr>
    </vt:vector>
  </TitlesOfParts>
  <Company>Microsoft</Company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Síntese de Execução Orçamental                         JULHO 2021</dc:title>
  <dc:subject/>
  <dc:creator>MF / DNOCP / Dir Serv  - Recilete Delgado Joia</dc:creator>
  <cp:keywords/>
  <dc:description/>
  <cp:lastModifiedBy>MF / DNOCP / Directora Nacional - Lidiane Nascimento</cp:lastModifiedBy>
  <cp:revision>3</cp:revision>
  <dcterms:created xsi:type="dcterms:W3CDTF">2021-08-19T22:52:00Z</dcterms:created>
  <dcterms:modified xsi:type="dcterms:W3CDTF">2021-08-19T23:56:00Z</dcterms:modified>
</cp:coreProperties>
</file>